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ADF5C8C" w:rsidR="006E78E0" w:rsidRPr="004F7767" w:rsidRDefault="00F009D9" w:rsidP="00297489">
                            <w:pPr>
                              <w:pStyle w:val="Heading1"/>
                              <w:rPr>
                                <w:rStyle w:val="SubtleReference"/>
                                <w:color w:val="2E3B42" w:themeColor="accent2"/>
                              </w:rPr>
                            </w:pPr>
                            <w:r>
                              <w:rPr>
                                <w:rStyle w:val="SubtleReference"/>
                                <w:color w:val="2E3B42" w:themeColor="accent2"/>
                              </w:rPr>
                              <w:t>Pupils coming from families with many children</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ADF5C8C" w:rsidR="006E78E0" w:rsidRPr="004F7767" w:rsidRDefault="00F009D9" w:rsidP="00297489">
                      <w:pPr>
                        <w:pStyle w:val="Heading1"/>
                        <w:rPr>
                          <w:rStyle w:val="SubtleReference"/>
                          <w:color w:val="2E3B42" w:themeColor="accent2"/>
                        </w:rPr>
                      </w:pPr>
                      <w:r>
                        <w:rPr>
                          <w:rStyle w:val="SubtleReference"/>
                          <w:color w:val="2E3B42" w:themeColor="accent2"/>
                        </w:rPr>
                        <w:t>Pupils coming from families with many children</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176918A8" w:rsidR="00A3694A" w:rsidRPr="004F7767" w:rsidRDefault="00F009D9"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176918A8" w:rsidR="00A3694A" w:rsidRPr="004F7767" w:rsidRDefault="00F009D9"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2708B2D5" w14:textId="77777777" w:rsidR="00F009D9" w:rsidRDefault="00F009D9" w:rsidP="00F009D9">
      <w:pPr>
        <w:pStyle w:val="Heading2"/>
        <w:jc w:val="both"/>
      </w:pPr>
      <w:bookmarkStart w:id="0" w:name="_Toc486330367"/>
      <w:r>
        <w:lastRenderedPageBreak/>
        <w:t>Pupils coming from families with many children</w:t>
      </w:r>
      <w:bookmarkEnd w:id="0"/>
    </w:p>
    <w:p w14:paraId="13C16482" w14:textId="77777777" w:rsidR="00F009D9" w:rsidRDefault="00F009D9" w:rsidP="00F009D9">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009D9" w:rsidRPr="00291A7F" w14:paraId="242D1565" w14:textId="77777777" w:rsidTr="003709D4">
        <w:trPr>
          <w:trHeight w:val="845"/>
        </w:trPr>
        <w:tc>
          <w:tcPr>
            <w:tcW w:w="1135" w:type="dxa"/>
            <w:tcBorders>
              <w:top w:val="nil"/>
              <w:bottom w:val="nil"/>
              <w:right w:val="nil"/>
            </w:tcBorders>
            <w:vAlign w:val="center"/>
          </w:tcPr>
          <w:p w14:paraId="7D397B81" w14:textId="77777777" w:rsidR="00F009D9" w:rsidRDefault="00F009D9" w:rsidP="003709D4">
            <w:pPr>
              <w:pStyle w:val="Heading3"/>
              <w:jc w:val="both"/>
            </w:pPr>
            <w:r>
              <w:rPr>
                <w:noProof/>
                <w:lang w:val="el-GR" w:eastAsia="el-GR"/>
              </w:rPr>
              <w:drawing>
                <wp:anchor distT="0" distB="0" distL="114300" distR="114300" simplePos="0" relativeHeight="251663360" behindDoc="0" locked="0" layoutInCell="1" allowOverlap="1" wp14:anchorId="1B1FCF0C" wp14:editId="2E56C2A5">
                  <wp:simplePos x="0" y="0"/>
                  <wp:positionH relativeFrom="column">
                    <wp:posOffset>87630</wp:posOffset>
                  </wp:positionH>
                  <wp:positionV relativeFrom="paragraph">
                    <wp:posOffset>-5080</wp:posOffset>
                  </wp:positionV>
                  <wp:extent cx="516890" cy="516890"/>
                  <wp:effectExtent l="0" t="0" r="0" b="0"/>
                  <wp:wrapNone/>
                  <wp:docPr id="3" name="Picture 5"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anchor>
              </w:drawing>
            </w:r>
          </w:p>
          <w:p w14:paraId="2144117B" w14:textId="77777777" w:rsidR="00F009D9" w:rsidRPr="00291A7F" w:rsidRDefault="00F009D9" w:rsidP="003709D4">
            <w:pPr>
              <w:jc w:val="both"/>
            </w:pPr>
          </w:p>
        </w:tc>
        <w:tc>
          <w:tcPr>
            <w:tcW w:w="8159" w:type="dxa"/>
            <w:tcBorders>
              <w:left w:val="nil"/>
            </w:tcBorders>
            <w:vAlign w:val="center"/>
          </w:tcPr>
          <w:p w14:paraId="4B5F5AD9" w14:textId="77777777" w:rsidR="00F009D9" w:rsidRPr="00291A7F" w:rsidRDefault="00F009D9" w:rsidP="003709D4">
            <w:pPr>
              <w:pStyle w:val="Subtitle"/>
              <w:jc w:val="both"/>
            </w:pPr>
            <w:r w:rsidRPr="00291A7F">
              <w:t>Classroom-based tips (focus on instructional methods)</w:t>
            </w:r>
          </w:p>
        </w:tc>
      </w:tr>
    </w:tbl>
    <w:p w14:paraId="709A8002" w14:textId="77777777" w:rsidR="00F009D9" w:rsidRPr="00394C2F" w:rsidRDefault="00F009D9" w:rsidP="00F009D9">
      <w:pPr>
        <w:pStyle w:val="yiv9103784343msonormal"/>
        <w:spacing w:before="0" w:after="0"/>
        <w:jc w:val="both"/>
        <w:rPr>
          <w:rFonts w:ascii="Calibri" w:eastAsiaTheme="minorEastAsia" w:hAnsi="Calibri" w:cs="Arial"/>
          <w:sz w:val="22"/>
          <w:szCs w:val="22"/>
        </w:rPr>
      </w:pPr>
    </w:p>
    <w:p w14:paraId="722DAF08" w14:textId="77777777" w:rsidR="00F009D9" w:rsidRDefault="00F009D9" w:rsidP="00F009D9">
      <w:pPr>
        <w:widowControl w:val="0"/>
        <w:numPr>
          <w:ilvl w:val="0"/>
          <w:numId w:val="7"/>
        </w:numPr>
        <w:autoSpaceDE w:val="0"/>
        <w:autoSpaceDN w:val="0"/>
        <w:adjustRightInd w:val="0"/>
        <w:jc w:val="both"/>
      </w:pPr>
      <w:r w:rsidRPr="00A76906">
        <w:rPr>
          <w:b/>
        </w:rPr>
        <w:t>Create new experiences for learners.</w:t>
      </w:r>
      <w:r w:rsidRPr="00394C2F">
        <w:t xml:space="preserve"> Most pupils from large families may not have ever left their town or county. It is up to educators to </w:t>
      </w:r>
      <w:r>
        <w:t xml:space="preserve">offer </w:t>
      </w:r>
      <w:r w:rsidRPr="00394C2F">
        <w:t>pupils new learning and cultural experiences; encourage them to watch videos about other parts of the world, invite guest speakers to your class to talk about their experiences, and take your class on field trips.</w:t>
      </w:r>
    </w:p>
    <w:p w14:paraId="5DA0ABBB" w14:textId="77777777" w:rsidR="00F009D9" w:rsidRPr="00394C2F" w:rsidRDefault="00F009D9" w:rsidP="00F009D9">
      <w:pPr>
        <w:widowControl w:val="0"/>
        <w:autoSpaceDE w:val="0"/>
        <w:autoSpaceDN w:val="0"/>
        <w:adjustRightInd w:val="0"/>
        <w:ind w:left="720"/>
        <w:jc w:val="both"/>
      </w:pPr>
    </w:p>
    <w:p w14:paraId="77E91F70" w14:textId="77777777" w:rsidR="00F009D9" w:rsidRDefault="00F009D9" w:rsidP="00F009D9">
      <w:pPr>
        <w:widowControl w:val="0"/>
        <w:numPr>
          <w:ilvl w:val="0"/>
          <w:numId w:val="7"/>
        </w:numPr>
        <w:autoSpaceDE w:val="0"/>
        <w:autoSpaceDN w:val="0"/>
        <w:adjustRightInd w:val="0"/>
        <w:jc w:val="both"/>
      </w:pPr>
      <w:r w:rsidRPr="00A76906">
        <w:rPr>
          <w:b/>
        </w:rPr>
        <w:t>Challenge stereotypes about large families or parents who have many children</w:t>
      </w:r>
      <w:r w:rsidRPr="00394C2F">
        <w:t xml:space="preserve"> that may become apparent in the curriculum or in discussions in the classroom.</w:t>
      </w:r>
    </w:p>
    <w:p w14:paraId="45680B37" w14:textId="77777777" w:rsidR="00F009D9" w:rsidRPr="00394C2F" w:rsidRDefault="00F009D9" w:rsidP="00F009D9">
      <w:pPr>
        <w:widowControl w:val="0"/>
        <w:autoSpaceDE w:val="0"/>
        <w:autoSpaceDN w:val="0"/>
        <w:adjustRightInd w:val="0"/>
        <w:ind w:left="720"/>
        <w:jc w:val="both"/>
      </w:pPr>
    </w:p>
    <w:p w14:paraId="43831CD0" w14:textId="77777777" w:rsidR="00F009D9" w:rsidRDefault="00F009D9" w:rsidP="00F009D9">
      <w:pPr>
        <w:widowControl w:val="0"/>
        <w:numPr>
          <w:ilvl w:val="0"/>
          <w:numId w:val="7"/>
        </w:numPr>
        <w:autoSpaceDE w:val="0"/>
        <w:autoSpaceDN w:val="0"/>
        <w:adjustRightInd w:val="0"/>
        <w:jc w:val="both"/>
      </w:pPr>
      <w:r w:rsidRPr="00A76906">
        <w:rPr>
          <w:b/>
        </w:rPr>
        <w:t>Teach about diversity and differences</w:t>
      </w:r>
      <w:r w:rsidRPr="00394C2F">
        <w:t xml:space="preserve"> by presenting or referring to different types of families that exist all over the world, without making references to specific individuals in the class, or their families. </w:t>
      </w:r>
      <w:proofErr w:type="spellStart"/>
      <w:r w:rsidRPr="00394C2F">
        <w:t>Emphasise</w:t>
      </w:r>
      <w:proofErr w:type="spellEnd"/>
      <w:r w:rsidRPr="00394C2F">
        <w:t xml:space="preserve"> that there are many different types of families: some with a few children, some with many children; </w:t>
      </w:r>
      <w:r>
        <w:t xml:space="preserve">some without children; </w:t>
      </w:r>
      <w:r w:rsidRPr="00394C2F">
        <w:t>some with both parents present, some with one parent present; and some with grandparents or aunts and uncles</w:t>
      </w:r>
      <w:r>
        <w:t xml:space="preserve"> and so on</w:t>
      </w:r>
      <w:r w:rsidRPr="00394C2F">
        <w:t>.</w:t>
      </w:r>
    </w:p>
    <w:p w14:paraId="17F53D9E" w14:textId="77777777" w:rsidR="00F009D9" w:rsidRPr="00394C2F" w:rsidRDefault="00F009D9" w:rsidP="00F009D9">
      <w:pPr>
        <w:widowControl w:val="0"/>
        <w:autoSpaceDE w:val="0"/>
        <w:autoSpaceDN w:val="0"/>
        <w:adjustRightInd w:val="0"/>
        <w:ind w:left="720"/>
        <w:jc w:val="both"/>
      </w:pPr>
    </w:p>
    <w:p w14:paraId="36499903" w14:textId="77777777" w:rsidR="00F009D9" w:rsidRDefault="00F009D9" w:rsidP="00F009D9">
      <w:pPr>
        <w:widowControl w:val="0"/>
        <w:numPr>
          <w:ilvl w:val="0"/>
          <w:numId w:val="7"/>
        </w:numPr>
        <w:autoSpaceDE w:val="0"/>
        <w:autoSpaceDN w:val="0"/>
        <w:adjustRightInd w:val="0"/>
        <w:jc w:val="both"/>
      </w:pPr>
      <w:r w:rsidRPr="00A76906">
        <w:rPr>
          <w:b/>
        </w:rPr>
        <w:t>Become aware of your own stereotypes</w:t>
      </w:r>
      <w:r w:rsidRPr="00394C2F">
        <w:t xml:space="preserve"> about pupils from large families and consciously work to resolve them.</w:t>
      </w:r>
    </w:p>
    <w:p w14:paraId="407FCDEC" w14:textId="77777777" w:rsidR="00F009D9" w:rsidRPr="00394C2F" w:rsidRDefault="00F009D9" w:rsidP="00F009D9">
      <w:pPr>
        <w:widowControl w:val="0"/>
        <w:autoSpaceDE w:val="0"/>
        <w:autoSpaceDN w:val="0"/>
        <w:adjustRightInd w:val="0"/>
        <w:ind w:left="720"/>
        <w:jc w:val="both"/>
      </w:pPr>
    </w:p>
    <w:p w14:paraId="020BBBAB" w14:textId="77777777" w:rsidR="00F009D9" w:rsidRDefault="00F009D9" w:rsidP="00F009D9">
      <w:pPr>
        <w:widowControl w:val="0"/>
        <w:numPr>
          <w:ilvl w:val="0"/>
          <w:numId w:val="7"/>
        </w:numPr>
        <w:autoSpaceDE w:val="0"/>
        <w:autoSpaceDN w:val="0"/>
        <w:adjustRightInd w:val="0"/>
        <w:jc w:val="both"/>
      </w:pPr>
      <w:r w:rsidRPr="00A76906">
        <w:rPr>
          <w:b/>
        </w:rPr>
        <w:t>Share your thoughts and findings about pupils from large families with your colleagues</w:t>
      </w:r>
      <w:r w:rsidRPr="00394C2F">
        <w:t>, to encourage them to reflect upon the issue as well.</w:t>
      </w:r>
    </w:p>
    <w:p w14:paraId="172B35F0" w14:textId="77777777" w:rsidR="00F009D9" w:rsidRPr="00394C2F" w:rsidRDefault="00F009D9" w:rsidP="00F009D9">
      <w:pPr>
        <w:widowControl w:val="0"/>
        <w:autoSpaceDE w:val="0"/>
        <w:autoSpaceDN w:val="0"/>
        <w:adjustRightInd w:val="0"/>
        <w:ind w:left="720"/>
        <w:jc w:val="both"/>
      </w:pPr>
    </w:p>
    <w:p w14:paraId="6FC0EF1C" w14:textId="77777777" w:rsidR="00F009D9" w:rsidRDefault="00F009D9" w:rsidP="00F009D9">
      <w:pPr>
        <w:widowControl w:val="0"/>
        <w:numPr>
          <w:ilvl w:val="0"/>
          <w:numId w:val="7"/>
        </w:numPr>
        <w:autoSpaceDE w:val="0"/>
        <w:autoSpaceDN w:val="0"/>
        <w:adjustRightInd w:val="0"/>
        <w:jc w:val="both"/>
      </w:pPr>
      <w:r w:rsidRPr="00A76906">
        <w:rPr>
          <w:b/>
        </w:rPr>
        <w:t>Present the advantages of large families,</w:t>
      </w:r>
      <w:r w:rsidRPr="00394C2F">
        <w:t xml:space="preserve"> without referring to individual pupils or their families by name: e.g. cooperation, sharing, taking initiative, self-relia</w:t>
      </w:r>
      <w:r>
        <w:t xml:space="preserve">nce, </w:t>
      </w:r>
      <w:r w:rsidRPr="00394C2F">
        <w:t xml:space="preserve">assuming responsibility. </w:t>
      </w:r>
    </w:p>
    <w:p w14:paraId="57A1FB7C" w14:textId="77777777" w:rsidR="00F009D9" w:rsidRPr="00394C2F" w:rsidRDefault="00F009D9" w:rsidP="00F009D9">
      <w:pPr>
        <w:widowControl w:val="0"/>
        <w:autoSpaceDE w:val="0"/>
        <w:autoSpaceDN w:val="0"/>
        <w:adjustRightInd w:val="0"/>
        <w:ind w:left="720"/>
        <w:jc w:val="both"/>
      </w:pPr>
    </w:p>
    <w:p w14:paraId="7C3996B0" w14:textId="77777777" w:rsidR="00F009D9" w:rsidRDefault="00F009D9" w:rsidP="00F009D9">
      <w:pPr>
        <w:widowControl w:val="0"/>
        <w:numPr>
          <w:ilvl w:val="0"/>
          <w:numId w:val="7"/>
        </w:numPr>
        <w:autoSpaceDE w:val="0"/>
        <w:autoSpaceDN w:val="0"/>
        <w:adjustRightInd w:val="0"/>
        <w:jc w:val="both"/>
      </w:pPr>
      <w:r w:rsidRPr="00A76906">
        <w:rPr>
          <w:b/>
        </w:rPr>
        <w:t>Ensure all pupils in your class feel they belong to a team,</w:t>
      </w:r>
      <w:r w:rsidRPr="00394C2F">
        <w:t xml:space="preserve"> in which everyone has a responsibility, giving them opportunities to be positive role models in your classroom. Children from large families quickly learn to work together as a team. They understand that being part of a larger group requires everyone to do their share and that trying to skip out on their chores or responsibilities may have a negative effect on others. </w:t>
      </w:r>
    </w:p>
    <w:p w14:paraId="4856EB8D" w14:textId="77777777" w:rsidR="00F009D9" w:rsidRPr="00394C2F" w:rsidRDefault="00F009D9" w:rsidP="00F009D9">
      <w:pPr>
        <w:widowControl w:val="0"/>
        <w:autoSpaceDE w:val="0"/>
        <w:autoSpaceDN w:val="0"/>
        <w:adjustRightInd w:val="0"/>
        <w:ind w:left="720"/>
        <w:jc w:val="both"/>
      </w:pPr>
    </w:p>
    <w:p w14:paraId="499765C0" w14:textId="77777777" w:rsidR="00F009D9" w:rsidRPr="00394C2F" w:rsidRDefault="00F009D9" w:rsidP="00F009D9">
      <w:pPr>
        <w:widowControl w:val="0"/>
        <w:numPr>
          <w:ilvl w:val="0"/>
          <w:numId w:val="7"/>
        </w:numPr>
        <w:autoSpaceDE w:val="0"/>
        <w:autoSpaceDN w:val="0"/>
        <w:adjustRightInd w:val="0"/>
        <w:jc w:val="both"/>
      </w:pPr>
      <w:r w:rsidRPr="00A76906">
        <w:rPr>
          <w:b/>
        </w:rPr>
        <w:t>Provide time during the school day for homework completion;</w:t>
      </w:r>
      <w:r w:rsidRPr="00394C2F">
        <w:t xml:space="preserve"> pupils may be more able to complete homework at school rather than at home, in the presence of many siblings and distractions.</w:t>
      </w:r>
    </w:p>
    <w:p w14:paraId="5FBD02FB" w14:textId="77777777" w:rsidR="00F009D9" w:rsidRDefault="00F009D9" w:rsidP="00F009D9">
      <w:pPr>
        <w:jc w:val="both"/>
      </w:pPr>
    </w:p>
    <w:p w14:paraId="284B9A4F" w14:textId="77777777" w:rsidR="00F009D9" w:rsidRDefault="00F009D9" w:rsidP="00F009D9">
      <w:pPr>
        <w:jc w:val="both"/>
      </w:pPr>
    </w:p>
    <w:p w14:paraId="776B871D" w14:textId="77777777" w:rsidR="00F009D9" w:rsidRDefault="00F009D9" w:rsidP="00F009D9">
      <w:pPr>
        <w:jc w:val="both"/>
      </w:pPr>
    </w:p>
    <w:p w14:paraId="732B4923" w14:textId="77777777" w:rsidR="00F009D9" w:rsidRDefault="00F009D9" w:rsidP="00F009D9">
      <w:pPr>
        <w:jc w:val="both"/>
      </w:pPr>
    </w:p>
    <w:p w14:paraId="5EA1A93E" w14:textId="77777777" w:rsidR="00F009D9" w:rsidRDefault="00F009D9" w:rsidP="00F009D9">
      <w:pPr>
        <w:jc w:val="both"/>
      </w:pPr>
    </w:p>
    <w:p w14:paraId="7AE68E28" w14:textId="77777777" w:rsidR="00F009D9" w:rsidRDefault="00F009D9" w:rsidP="00F009D9">
      <w:pPr>
        <w:jc w:val="both"/>
      </w:pPr>
    </w:p>
    <w:p w14:paraId="79E87E2D" w14:textId="77777777" w:rsidR="00F009D9" w:rsidRDefault="00F009D9" w:rsidP="00F009D9">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009D9" w:rsidRPr="005F7D06" w14:paraId="7C84A5E0" w14:textId="77777777" w:rsidTr="003709D4">
        <w:trPr>
          <w:trHeight w:val="845"/>
        </w:trPr>
        <w:tc>
          <w:tcPr>
            <w:tcW w:w="1135" w:type="dxa"/>
            <w:tcBorders>
              <w:top w:val="nil"/>
              <w:bottom w:val="nil"/>
              <w:right w:val="nil"/>
            </w:tcBorders>
            <w:vAlign w:val="center"/>
          </w:tcPr>
          <w:p w14:paraId="712838E3" w14:textId="77777777" w:rsidR="00F009D9" w:rsidRDefault="00F009D9" w:rsidP="003709D4">
            <w:pPr>
              <w:pStyle w:val="Heading3"/>
              <w:jc w:val="both"/>
            </w:pPr>
            <w:r>
              <w:rPr>
                <w:noProof/>
                <w:lang w:val="el-GR" w:eastAsia="el-GR"/>
              </w:rPr>
              <w:lastRenderedPageBreak/>
              <w:drawing>
                <wp:anchor distT="0" distB="0" distL="114300" distR="114300" simplePos="0" relativeHeight="251664384" behindDoc="0" locked="0" layoutInCell="1" allowOverlap="1" wp14:anchorId="51761220" wp14:editId="39A23BD4">
                  <wp:simplePos x="0" y="0"/>
                  <wp:positionH relativeFrom="column">
                    <wp:posOffset>112395</wp:posOffset>
                  </wp:positionH>
                  <wp:positionV relativeFrom="paragraph">
                    <wp:posOffset>-47625</wp:posOffset>
                  </wp:positionV>
                  <wp:extent cx="505460" cy="505460"/>
                  <wp:effectExtent l="0" t="0" r="8890" b="8890"/>
                  <wp:wrapNone/>
                  <wp:docPr id="8"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2F1B5746" w14:textId="77777777" w:rsidR="00F009D9" w:rsidRPr="00291A7F" w:rsidRDefault="00F009D9" w:rsidP="003709D4">
            <w:pPr>
              <w:jc w:val="both"/>
            </w:pPr>
          </w:p>
        </w:tc>
        <w:tc>
          <w:tcPr>
            <w:tcW w:w="8159" w:type="dxa"/>
            <w:tcBorders>
              <w:left w:val="nil"/>
            </w:tcBorders>
            <w:vAlign w:val="center"/>
          </w:tcPr>
          <w:p w14:paraId="46EFE72E" w14:textId="77777777" w:rsidR="00F009D9" w:rsidRPr="005F7D06" w:rsidRDefault="00F009D9" w:rsidP="003709D4">
            <w:pPr>
              <w:pStyle w:val="Subtitle"/>
              <w:jc w:val="both"/>
            </w:pPr>
            <w:r w:rsidRPr="005F7D06">
              <w:t>School-based practical tips (focus on instructional methods)</w:t>
            </w:r>
          </w:p>
        </w:tc>
      </w:tr>
    </w:tbl>
    <w:p w14:paraId="07DC7E3C" w14:textId="77777777" w:rsidR="00F009D9" w:rsidRDefault="00F009D9" w:rsidP="00F009D9">
      <w:pPr>
        <w:jc w:val="both"/>
        <w:rPr>
          <w:b/>
          <w:color w:val="2E3B42" w:themeColor="accent2"/>
          <w:sz w:val="28"/>
          <w:szCs w:val="28"/>
        </w:rPr>
      </w:pPr>
    </w:p>
    <w:p w14:paraId="30E38104" w14:textId="77777777" w:rsidR="00F009D9" w:rsidRPr="00F009D9" w:rsidRDefault="00F009D9" w:rsidP="00F009D9">
      <w:pPr>
        <w:pStyle w:val="Heading3"/>
        <w:jc w:val="both"/>
        <w:rPr>
          <w:b/>
        </w:rPr>
      </w:pPr>
      <w:r w:rsidRPr="00F009D9">
        <w:rPr>
          <w:b/>
        </w:rPr>
        <w:t>Class Divisions / Arrangements</w:t>
      </w:r>
    </w:p>
    <w:p w14:paraId="22D9394B" w14:textId="77777777" w:rsidR="00F009D9" w:rsidRDefault="00F009D9" w:rsidP="00F009D9">
      <w:pPr>
        <w:jc w:val="both"/>
        <w:rPr>
          <w:b/>
          <w:color w:val="2E3B42" w:themeColor="accent2"/>
          <w:sz w:val="28"/>
          <w:szCs w:val="28"/>
        </w:rPr>
      </w:pPr>
    </w:p>
    <w:p w14:paraId="0277A6A0" w14:textId="77777777" w:rsidR="00F009D9" w:rsidRPr="00A76906" w:rsidRDefault="00F009D9" w:rsidP="00F009D9">
      <w:pPr>
        <w:ind w:left="720"/>
        <w:jc w:val="both"/>
        <w:rPr>
          <w:rFonts w:asciiTheme="majorHAnsi" w:hAnsiTheme="majorHAnsi"/>
          <w:bCs/>
          <w:color w:val="000000" w:themeColor="text1"/>
          <w:szCs w:val="24"/>
          <w:lang w:val="en-GB"/>
        </w:rPr>
      </w:pPr>
      <w:r w:rsidRPr="00A76906">
        <w:rPr>
          <w:rFonts w:asciiTheme="majorHAnsi" w:hAnsiTheme="majorHAnsi"/>
          <w:b/>
          <w:bCs/>
          <w:color w:val="000000" w:themeColor="text1"/>
          <w:szCs w:val="24"/>
          <w:lang w:val="en-GB"/>
        </w:rPr>
        <w:t xml:space="preserve">Include pupils from large families in events and activities by differentiating and emphasising their roles. </w:t>
      </w:r>
      <w:r w:rsidRPr="00A76906">
        <w:rPr>
          <w:rFonts w:asciiTheme="majorHAnsi" w:hAnsiTheme="majorHAnsi"/>
          <w:bCs/>
          <w:color w:val="000000" w:themeColor="text1"/>
          <w:szCs w:val="24"/>
          <w:lang w:val="en-GB"/>
        </w:rPr>
        <w:t>For example, consider giving adequate parts to pupils coming from large families and emphasise their capacity for flexibility and taking initiative.</w:t>
      </w:r>
    </w:p>
    <w:p w14:paraId="433FFA54" w14:textId="77777777" w:rsidR="00F009D9" w:rsidRDefault="00F009D9" w:rsidP="00F009D9">
      <w:pPr>
        <w:jc w:val="both"/>
        <w:rPr>
          <w:b/>
          <w:color w:val="2E3B42" w:themeColor="accent2"/>
          <w:sz w:val="28"/>
          <w:szCs w:val="28"/>
        </w:rPr>
      </w:pPr>
    </w:p>
    <w:p w14:paraId="087336D2" w14:textId="77777777" w:rsidR="00F009D9" w:rsidRPr="00F009D9" w:rsidRDefault="00F009D9" w:rsidP="00F009D9">
      <w:pPr>
        <w:pStyle w:val="Heading3"/>
        <w:jc w:val="both"/>
        <w:rPr>
          <w:b/>
        </w:rPr>
      </w:pPr>
      <w:r w:rsidRPr="00F009D9">
        <w:rPr>
          <w:b/>
        </w:rPr>
        <w:t>Community</w:t>
      </w:r>
    </w:p>
    <w:p w14:paraId="470AD9A6" w14:textId="77777777" w:rsidR="00F009D9" w:rsidRDefault="00F009D9" w:rsidP="00F009D9">
      <w:pPr>
        <w:jc w:val="both"/>
        <w:rPr>
          <w:b/>
          <w:color w:val="2E3B42" w:themeColor="accent2"/>
          <w:sz w:val="28"/>
          <w:szCs w:val="28"/>
        </w:rPr>
      </w:pPr>
    </w:p>
    <w:p w14:paraId="064C9A76" w14:textId="77777777" w:rsidR="00F009D9" w:rsidRPr="00A76906" w:rsidRDefault="00F009D9" w:rsidP="00F009D9">
      <w:pPr>
        <w:ind w:left="720"/>
        <w:jc w:val="both"/>
        <w:rPr>
          <w:b/>
          <w:color w:val="2E3B42" w:themeColor="accent2"/>
          <w:sz w:val="28"/>
          <w:szCs w:val="28"/>
        </w:rPr>
      </w:pPr>
      <w:r w:rsidRPr="00A76906">
        <w:rPr>
          <w:rFonts w:asciiTheme="majorHAnsi" w:hAnsiTheme="majorHAnsi"/>
          <w:b/>
          <w:bCs/>
          <w:color w:val="000000" w:themeColor="text1"/>
          <w:szCs w:val="24"/>
          <w:lang w:val="en-GB"/>
        </w:rPr>
        <w:t xml:space="preserve">Organise educational visits and school excursions. </w:t>
      </w:r>
      <w:r w:rsidRPr="00A76906">
        <w:rPr>
          <w:rFonts w:asciiTheme="majorHAnsi" w:hAnsiTheme="majorHAnsi"/>
          <w:bCs/>
          <w:color w:val="000000" w:themeColor="text1"/>
          <w:szCs w:val="24"/>
          <w:lang w:val="en-GB"/>
        </w:rPr>
        <w:t>Trips are essential for every pupil’s development and interaction with the surrounding environment. Take advantage of grants and funding that can help a whole classroom of pupils visit unexpected places.</w:t>
      </w:r>
    </w:p>
    <w:p w14:paraId="43CE5C96" w14:textId="77777777" w:rsidR="00F009D9" w:rsidRDefault="00F009D9" w:rsidP="00F009D9">
      <w:pPr>
        <w:jc w:val="both"/>
        <w:rPr>
          <w:b/>
          <w:color w:val="2E3B42" w:themeColor="accent2"/>
          <w:sz w:val="28"/>
          <w:szCs w:val="28"/>
        </w:rPr>
      </w:pPr>
    </w:p>
    <w:p w14:paraId="5EC2B76A" w14:textId="77777777" w:rsidR="00F009D9" w:rsidRPr="00F009D9" w:rsidRDefault="00F009D9" w:rsidP="00F009D9">
      <w:pPr>
        <w:pStyle w:val="Heading3"/>
        <w:jc w:val="both"/>
        <w:rPr>
          <w:b/>
        </w:rPr>
      </w:pPr>
      <w:r w:rsidRPr="00F009D9">
        <w:rPr>
          <w:b/>
        </w:rPr>
        <w:t>Curricular Adaptations</w:t>
      </w:r>
    </w:p>
    <w:p w14:paraId="6F033DF0" w14:textId="77777777" w:rsidR="00F009D9" w:rsidRDefault="00F009D9" w:rsidP="00F009D9">
      <w:pPr>
        <w:jc w:val="both"/>
        <w:rPr>
          <w:b/>
          <w:color w:val="2E3B42" w:themeColor="accent2"/>
          <w:sz w:val="28"/>
          <w:szCs w:val="28"/>
        </w:rPr>
      </w:pPr>
    </w:p>
    <w:p w14:paraId="6A6C179F" w14:textId="77777777" w:rsidR="00F009D9" w:rsidRDefault="00F009D9" w:rsidP="00F009D9">
      <w:pPr>
        <w:pStyle w:val="ListParagraph"/>
        <w:numPr>
          <w:ilvl w:val="0"/>
          <w:numId w:val="9"/>
        </w:numPr>
        <w:contextualSpacing w:val="0"/>
        <w:jc w:val="both"/>
        <w:rPr>
          <w:rFonts w:asciiTheme="majorHAnsi" w:hAnsiTheme="majorHAnsi"/>
          <w:bCs/>
          <w:color w:val="000000" w:themeColor="text1"/>
          <w:szCs w:val="24"/>
          <w:lang w:val="en-GB"/>
        </w:rPr>
      </w:pPr>
      <w:r w:rsidRPr="00DF414C">
        <w:rPr>
          <w:rFonts w:asciiTheme="majorHAnsi" w:hAnsiTheme="majorHAnsi"/>
          <w:bCs/>
          <w:color w:val="000000" w:themeColor="text1"/>
          <w:szCs w:val="24"/>
          <w:lang w:val="en-GB"/>
        </w:rPr>
        <w:t>Organise educational visits and school excursions. Trips are essential for every pupil’s development and interaction with the surrounding environment. Take advantage of grants and funding that can help a whole classroom of pupils visit unexpected places.</w:t>
      </w:r>
    </w:p>
    <w:p w14:paraId="4FD31D48" w14:textId="77777777" w:rsidR="00F009D9" w:rsidRDefault="00F009D9" w:rsidP="00F009D9">
      <w:pPr>
        <w:pStyle w:val="ListParagraph"/>
        <w:contextualSpacing w:val="0"/>
        <w:jc w:val="both"/>
        <w:rPr>
          <w:rFonts w:asciiTheme="majorHAnsi" w:hAnsiTheme="majorHAnsi"/>
          <w:bCs/>
          <w:color w:val="000000" w:themeColor="text1"/>
          <w:szCs w:val="24"/>
          <w:lang w:val="en-GB"/>
        </w:rPr>
      </w:pPr>
    </w:p>
    <w:p w14:paraId="711729EC" w14:textId="77777777" w:rsidR="00F009D9" w:rsidRPr="00DF414C" w:rsidRDefault="00F009D9" w:rsidP="00F009D9">
      <w:pPr>
        <w:pStyle w:val="ListParagraph"/>
        <w:numPr>
          <w:ilvl w:val="0"/>
          <w:numId w:val="9"/>
        </w:numPr>
        <w:jc w:val="both"/>
        <w:rPr>
          <w:rFonts w:asciiTheme="majorHAnsi" w:hAnsiTheme="majorHAnsi"/>
          <w:bCs/>
          <w:color w:val="000000" w:themeColor="text1"/>
          <w:szCs w:val="24"/>
          <w:lang w:val="en-GB"/>
        </w:rPr>
      </w:pPr>
      <w:r w:rsidRPr="00DF414C">
        <w:rPr>
          <w:rFonts w:asciiTheme="majorHAnsi" w:hAnsiTheme="majorHAnsi"/>
          <w:bCs/>
          <w:color w:val="000000" w:themeColor="text1"/>
          <w:szCs w:val="24"/>
          <w:lang w:val="en-GB"/>
        </w:rPr>
        <w:t>Include pupils from large families in events and activities by differentiating and emphasising their roles. For example, consider giving adequate parts to pupils coming from large families and emphasise their capacity for flexibility and taking initiative.</w:t>
      </w:r>
    </w:p>
    <w:p w14:paraId="20B0299D" w14:textId="77777777" w:rsidR="00F009D9" w:rsidRDefault="00F009D9" w:rsidP="00F009D9">
      <w:pPr>
        <w:jc w:val="both"/>
        <w:rPr>
          <w:b/>
          <w:color w:val="2E3B42" w:themeColor="accent2"/>
          <w:sz w:val="28"/>
          <w:szCs w:val="28"/>
        </w:rPr>
      </w:pPr>
    </w:p>
    <w:p w14:paraId="21392EA6" w14:textId="77777777" w:rsidR="00F009D9" w:rsidRPr="00F009D9" w:rsidRDefault="00F009D9" w:rsidP="00F009D9">
      <w:pPr>
        <w:pStyle w:val="Heading3"/>
        <w:jc w:val="both"/>
        <w:rPr>
          <w:b/>
        </w:rPr>
      </w:pPr>
      <w:r w:rsidRPr="00F009D9">
        <w:rPr>
          <w:b/>
        </w:rPr>
        <w:t>Food (canteen, visits, camps, trips)</w:t>
      </w:r>
    </w:p>
    <w:p w14:paraId="29BF5C24" w14:textId="77777777" w:rsidR="00F009D9" w:rsidRDefault="00F009D9" w:rsidP="00F009D9">
      <w:pPr>
        <w:jc w:val="both"/>
        <w:rPr>
          <w:b/>
          <w:color w:val="2E3B42" w:themeColor="accent2"/>
          <w:sz w:val="28"/>
          <w:szCs w:val="28"/>
        </w:rPr>
      </w:pPr>
    </w:p>
    <w:p w14:paraId="2D3E8FA5" w14:textId="77777777" w:rsidR="00F009D9" w:rsidRPr="000F3D48" w:rsidRDefault="00F009D9" w:rsidP="00F009D9">
      <w:pPr>
        <w:pStyle w:val="ListParagraph"/>
        <w:jc w:val="both"/>
        <w:rPr>
          <w:rFonts w:asciiTheme="majorHAnsi" w:hAnsiTheme="majorHAnsi"/>
          <w:bCs/>
          <w:color w:val="000000" w:themeColor="text1"/>
          <w:szCs w:val="24"/>
          <w:lang w:val="en-GB"/>
        </w:rPr>
      </w:pPr>
      <w:r w:rsidRPr="001A1168">
        <w:rPr>
          <w:rFonts w:asciiTheme="majorHAnsi" w:hAnsiTheme="majorHAnsi"/>
          <w:bCs/>
          <w:color w:val="000000" w:themeColor="text1"/>
          <w:szCs w:val="24"/>
          <w:lang w:val="en-GB"/>
        </w:rPr>
        <w:t>Provide school canteen discounts for pupils coming from low-income families. These should be provided discreetly.</w:t>
      </w:r>
    </w:p>
    <w:p w14:paraId="54197A1E" w14:textId="77777777" w:rsidR="00F009D9" w:rsidRDefault="00F009D9" w:rsidP="00F009D9">
      <w:pPr>
        <w:jc w:val="both"/>
        <w:rPr>
          <w:b/>
          <w:color w:val="2E3B42" w:themeColor="accent2"/>
          <w:sz w:val="28"/>
          <w:szCs w:val="28"/>
        </w:rPr>
      </w:pPr>
    </w:p>
    <w:p w14:paraId="706EAE2E" w14:textId="77777777" w:rsidR="00F009D9" w:rsidRPr="00F009D9" w:rsidRDefault="00F009D9" w:rsidP="00F009D9">
      <w:pPr>
        <w:pStyle w:val="Heading3"/>
        <w:jc w:val="both"/>
        <w:rPr>
          <w:b/>
        </w:rPr>
      </w:pPr>
      <w:r w:rsidRPr="00F009D9">
        <w:rPr>
          <w:b/>
        </w:rPr>
        <w:t xml:space="preserve">Educational visits / field trips / camps / school exchanges / trips abroad </w:t>
      </w:r>
    </w:p>
    <w:p w14:paraId="611D2062" w14:textId="77777777" w:rsidR="00F009D9" w:rsidRDefault="00F009D9" w:rsidP="00F009D9">
      <w:pPr>
        <w:jc w:val="both"/>
        <w:rPr>
          <w:b/>
          <w:color w:val="2E3B42" w:themeColor="accent2"/>
          <w:sz w:val="28"/>
          <w:szCs w:val="28"/>
        </w:rPr>
      </w:pPr>
    </w:p>
    <w:p w14:paraId="35702B3D" w14:textId="77777777" w:rsidR="00F009D9" w:rsidRDefault="00F009D9" w:rsidP="00F009D9">
      <w:pPr>
        <w:pStyle w:val="ListParagraph"/>
        <w:numPr>
          <w:ilvl w:val="0"/>
          <w:numId w:val="10"/>
        </w:numPr>
        <w:contextualSpacing w:val="0"/>
        <w:jc w:val="both"/>
        <w:rPr>
          <w:rFonts w:asciiTheme="majorHAnsi" w:hAnsiTheme="majorHAnsi"/>
          <w:bCs/>
          <w:color w:val="000000" w:themeColor="text1"/>
          <w:szCs w:val="24"/>
          <w:lang w:val="en-GB"/>
        </w:rPr>
      </w:pPr>
      <w:r w:rsidRPr="00DF414C">
        <w:rPr>
          <w:rFonts w:asciiTheme="majorHAnsi" w:hAnsiTheme="majorHAnsi"/>
          <w:bCs/>
          <w:color w:val="000000" w:themeColor="text1"/>
          <w:szCs w:val="24"/>
          <w:lang w:val="en-GB"/>
        </w:rPr>
        <w:t>Organise educational visits and school excursions. Trips are essential for every pupil’s development and interaction with the surrounding environment. Take advantage of grants and funding that can help a whole classroom of pupils visit unexpected places.</w:t>
      </w:r>
    </w:p>
    <w:p w14:paraId="2B37A29F" w14:textId="77777777" w:rsidR="00F009D9" w:rsidRPr="00607063" w:rsidRDefault="00F009D9" w:rsidP="00F009D9">
      <w:pPr>
        <w:pStyle w:val="ListParagraph"/>
        <w:contextualSpacing w:val="0"/>
        <w:jc w:val="both"/>
        <w:rPr>
          <w:rFonts w:asciiTheme="majorHAnsi" w:hAnsiTheme="majorHAnsi"/>
          <w:bCs/>
          <w:color w:val="000000" w:themeColor="text1"/>
          <w:szCs w:val="24"/>
          <w:lang w:val="en-GB"/>
        </w:rPr>
      </w:pPr>
    </w:p>
    <w:p w14:paraId="106670FA" w14:textId="77777777" w:rsidR="00F009D9" w:rsidRDefault="00F009D9" w:rsidP="00F009D9">
      <w:pPr>
        <w:pStyle w:val="ListParagraph"/>
        <w:numPr>
          <w:ilvl w:val="0"/>
          <w:numId w:val="10"/>
        </w:numPr>
        <w:jc w:val="both"/>
      </w:pPr>
      <w:r w:rsidRPr="00993218">
        <w:t xml:space="preserve">When </w:t>
      </w:r>
      <w:proofErr w:type="spellStart"/>
      <w:r w:rsidRPr="00993218">
        <w:t>organising</w:t>
      </w:r>
      <w:proofErr w:type="spellEnd"/>
      <w:r w:rsidRPr="00993218">
        <w:t xml:space="preserve"> school trips, provide gratuity or reductions for pupils from families with financial challenges. </w:t>
      </w:r>
      <w:r>
        <w:t xml:space="preserve"> These should be provided discreetly.</w:t>
      </w:r>
    </w:p>
    <w:p w14:paraId="4508D7AC" w14:textId="77777777" w:rsidR="00F009D9" w:rsidRPr="00062663" w:rsidRDefault="00F009D9" w:rsidP="00F009D9">
      <w:pPr>
        <w:jc w:val="both"/>
        <w:rPr>
          <w:b/>
          <w:color w:val="2E3B42" w:themeColor="accent2"/>
          <w:sz w:val="28"/>
          <w:szCs w:val="28"/>
          <w:lang w:val="en-GB"/>
        </w:rPr>
      </w:pPr>
    </w:p>
    <w:p w14:paraId="7F46CBCE" w14:textId="77777777" w:rsidR="00F009D9" w:rsidRDefault="00F009D9" w:rsidP="00F009D9">
      <w:pPr>
        <w:jc w:val="both"/>
        <w:rPr>
          <w:b/>
          <w:color w:val="2E3B42" w:themeColor="accent2"/>
          <w:sz w:val="28"/>
          <w:szCs w:val="28"/>
        </w:rPr>
      </w:pPr>
      <w:r>
        <w:rPr>
          <w:b/>
          <w:color w:val="2E3B42" w:themeColor="accent2"/>
          <w:sz w:val="28"/>
          <w:szCs w:val="28"/>
        </w:rPr>
        <w:t>Parents / Parents Associations</w:t>
      </w:r>
    </w:p>
    <w:p w14:paraId="5A05945F" w14:textId="77777777" w:rsidR="00F009D9" w:rsidRDefault="00F009D9" w:rsidP="00F009D9">
      <w:pPr>
        <w:jc w:val="both"/>
        <w:rPr>
          <w:b/>
          <w:color w:val="2E3B42" w:themeColor="accent2"/>
          <w:sz w:val="28"/>
          <w:szCs w:val="28"/>
        </w:rPr>
      </w:pPr>
    </w:p>
    <w:p w14:paraId="2319E824" w14:textId="77777777" w:rsidR="00F009D9" w:rsidRDefault="00F009D9" w:rsidP="00F009D9">
      <w:pPr>
        <w:pStyle w:val="ListParagraph"/>
        <w:numPr>
          <w:ilvl w:val="0"/>
          <w:numId w:val="8"/>
        </w:numPr>
        <w:jc w:val="both"/>
        <w:rPr>
          <w:rFonts w:asciiTheme="majorHAnsi" w:hAnsiTheme="majorHAnsi"/>
          <w:bCs/>
          <w:color w:val="000000" w:themeColor="text1"/>
          <w:szCs w:val="24"/>
          <w:lang w:val="en-GB"/>
        </w:rPr>
      </w:pPr>
      <w:r w:rsidRPr="001A1168">
        <w:rPr>
          <w:rFonts w:asciiTheme="majorHAnsi" w:hAnsiTheme="majorHAnsi"/>
          <w:bCs/>
          <w:color w:val="000000" w:themeColor="text1"/>
          <w:szCs w:val="24"/>
          <w:lang w:val="en-GB"/>
        </w:rPr>
        <w:t>Build relationships; provide supportive relationships with pupils and their families, irrespective of their financial and educational background.</w:t>
      </w:r>
    </w:p>
    <w:p w14:paraId="33EB6892" w14:textId="77777777" w:rsidR="00F009D9" w:rsidRDefault="00F009D9" w:rsidP="00F009D9">
      <w:pPr>
        <w:pStyle w:val="ListParagraph"/>
        <w:jc w:val="both"/>
        <w:rPr>
          <w:rFonts w:asciiTheme="majorHAnsi" w:hAnsiTheme="majorHAnsi"/>
          <w:bCs/>
          <w:color w:val="000000" w:themeColor="text1"/>
          <w:szCs w:val="24"/>
          <w:lang w:val="en-GB"/>
        </w:rPr>
      </w:pPr>
    </w:p>
    <w:p w14:paraId="69178B6B" w14:textId="77777777" w:rsidR="00F009D9" w:rsidRPr="001A1168" w:rsidRDefault="00F009D9" w:rsidP="00F009D9">
      <w:pPr>
        <w:pStyle w:val="ListParagraph"/>
        <w:numPr>
          <w:ilvl w:val="0"/>
          <w:numId w:val="8"/>
        </w:numPr>
        <w:jc w:val="both"/>
        <w:rPr>
          <w:rFonts w:asciiTheme="majorHAnsi" w:hAnsiTheme="majorHAnsi"/>
          <w:bCs/>
          <w:color w:val="000000" w:themeColor="text1"/>
          <w:szCs w:val="24"/>
          <w:lang w:val="en-GB"/>
        </w:rPr>
      </w:pPr>
      <w:r w:rsidRPr="001A1168">
        <w:rPr>
          <w:rFonts w:asciiTheme="majorHAnsi" w:hAnsiTheme="majorHAnsi"/>
          <w:bCs/>
          <w:color w:val="000000" w:themeColor="text1"/>
          <w:szCs w:val="24"/>
          <w:lang w:val="en-GB"/>
        </w:rPr>
        <w:t xml:space="preserve">Arrange meetings between the parents and the staff to discuss </w:t>
      </w:r>
      <w:proofErr w:type="gramStart"/>
      <w:r w:rsidRPr="001A1168">
        <w:rPr>
          <w:rFonts w:asciiTheme="majorHAnsi" w:hAnsiTheme="majorHAnsi"/>
          <w:bCs/>
          <w:color w:val="000000" w:themeColor="text1"/>
          <w:szCs w:val="24"/>
          <w:lang w:val="en-GB"/>
        </w:rPr>
        <w:t>pupils</w:t>
      </w:r>
      <w:proofErr w:type="gramEnd"/>
      <w:r w:rsidRPr="001A1168">
        <w:rPr>
          <w:rFonts w:asciiTheme="majorHAnsi" w:hAnsiTheme="majorHAnsi"/>
          <w:bCs/>
          <w:color w:val="000000" w:themeColor="text1"/>
          <w:szCs w:val="24"/>
          <w:lang w:val="en-GB"/>
        </w:rPr>
        <w:t xml:space="preserve"> progress, and to enhance the collaboration between home and school. This will help to monitor progress and to discuss issues that might be related to pupils’ social life, such as marginalisation, social interactions with peers, behaviour at home and self-esteem.</w:t>
      </w:r>
    </w:p>
    <w:p w14:paraId="474C74AB" w14:textId="77777777" w:rsidR="00F009D9" w:rsidRDefault="00F009D9" w:rsidP="00F009D9">
      <w:pPr>
        <w:jc w:val="both"/>
        <w:rPr>
          <w:b/>
          <w:color w:val="2E3B42" w:themeColor="accent2"/>
          <w:sz w:val="28"/>
          <w:szCs w:val="28"/>
        </w:rPr>
      </w:pPr>
    </w:p>
    <w:p w14:paraId="5B249411" w14:textId="77777777" w:rsidR="00F009D9" w:rsidRPr="00F009D9" w:rsidRDefault="00F009D9" w:rsidP="00F009D9">
      <w:pPr>
        <w:pStyle w:val="Heading3"/>
        <w:rPr>
          <w:b/>
        </w:rPr>
      </w:pPr>
      <w:r w:rsidRPr="00F009D9">
        <w:rPr>
          <w:b/>
        </w:rPr>
        <w:t>School Celebrations / Events / Activities</w:t>
      </w:r>
    </w:p>
    <w:p w14:paraId="2551491D" w14:textId="77777777" w:rsidR="00F009D9" w:rsidRDefault="00F009D9" w:rsidP="00F009D9">
      <w:pPr>
        <w:jc w:val="both"/>
        <w:rPr>
          <w:b/>
          <w:color w:val="2E3B42" w:themeColor="accent2"/>
          <w:sz w:val="28"/>
          <w:szCs w:val="28"/>
        </w:rPr>
      </w:pPr>
    </w:p>
    <w:p w14:paraId="3A6E9775" w14:textId="77777777" w:rsidR="00F009D9" w:rsidRPr="00A76906" w:rsidRDefault="00F009D9" w:rsidP="00F009D9">
      <w:pPr>
        <w:ind w:left="720"/>
        <w:jc w:val="both"/>
        <w:rPr>
          <w:rFonts w:asciiTheme="majorHAnsi" w:hAnsiTheme="majorHAnsi"/>
          <w:bCs/>
          <w:color w:val="000000" w:themeColor="text1"/>
          <w:szCs w:val="24"/>
          <w:lang w:val="en-GB"/>
        </w:rPr>
      </w:pPr>
      <w:r w:rsidRPr="00A76906">
        <w:rPr>
          <w:rFonts w:asciiTheme="majorHAnsi" w:hAnsiTheme="majorHAnsi"/>
          <w:bCs/>
          <w:color w:val="000000" w:themeColor="text1"/>
          <w:szCs w:val="24"/>
          <w:lang w:val="en-GB"/>
        </w:rPr>
        <w:t>Include pupils from large families in events and activities by differentiating and emphasising their roles. For example, consider giving adequate parts to pupils coming from large families and emphasise their capacity for flexibility and taking initiative.</w:t>
      </w:r>
    </w:p>
    <w:p w14:paraId="3FB526A4" w14:textId="77777777" w:rsidR="00F009D9" w:rsidRDefault="00F009D9" w:rsidP="00F009D9">
      <w:pPr>
        <w:jc w:val="both"/>
        <w:rPr>
          <w:b/>
          <w:color w:val="2E3B42" w:themeColor="accent2"/>
          <w:sz w:val="28"/>
          <w:szCs w:val="28"/>
        </w:rPr>
      </w:pPr>
    </w:p>
    <w:p w14:paraId="239831D4" w14:textId="77777777" w:rsidR="00F009D9" w:rsidRPr="00F009D9" w:rsidRDefault="00F009D9" w:rsidP="00F009D9">
      <w:pPr>
        <w:pStyle w:val="Heading3"/>
        <w:rPr>
          <w:b/>
        </w:rPr>
      </w:pPr>
      <w:r w:rsidRPr="00F009D9">
        <w:rPr>
          <w:b/>
        </w:rPr>
        <w:t>School Purchases</w:t>
      </w:r>
    </w:p>
    <w:p w14:paraId="20BC5A19" w14:textId="77777777" w:rsidR="00F009D9" w:rsidRDefault="00F009D9" w:rsidP="00F009D9">
      <w:pPr>
        <w:jc w:val="both"/>
        <w:rPr>
          <w:b/>
          <w:color w:val="2E3B42" w:themeColor="accent2"/>
          <w:sz w:val="28"/>
          <w:szCs w:val="28"/>
        </w:rPr>
      </w:pPr>
    </w:p>
    <w:p w14:paraId="74D940E1" w14:textId="77777777" w:rsidR="00F009D9" w:rsidRPr="00A76906" w:rsidRDefault="00F009D9" w:rsidP="00F009D9">
      <w:pPr>
        <w:ind w:left="720"/>
        <w:jc w:val="both"/>
        <w:rPr>
          <w:rFonts w:asciiTheme="majorHAnsi" w:hAnsiTheme="majorHAnsi"/>
          <w:bCs/>
          <w:color w:val="000000" w:themeColor="text1"/>
          <w:szCs w:val="24"/>
          <w:lang w:val="en-GB"/>
        </w:rPr>
      </w:pPr>
      <w:r w:rsidRPr="00A76906">
        <w:rPr>
          <w:rFonts w:asciiTheme="majorHAnsi" w:hAnsiTheme="majorHAnsi"/>
          <w:bCs/>
          <w:color w:val="000000" w:themeColor="text1"/>
          <w:szCs w:val="24"/>
          <w:lang w:val="en-GB"/>
        </w:rPr>
        <w:t>Equip the classrooms with computers for each pupil so as to offer equal learning opportunities for those who do not have a computer at home.</w:t>
      </w:r>
    </w:p>
    <w:p w14:paraId="4D9AE2BC" w14:textId="77777777" w:rsidR="00F009D9" w:rsidRDefault="00F009D9" w:rsidP="00F009D9">
      <w:pPr>
        <w:jc w:val="both"/>
        <w:rPr>
          <w:b/>
          <w:color w:val="2E3B42" w:themeColor="accent2"/>
          <w:sz w:val="28"/>
          <w:szCs w:val="28"/>
        </w:rPr>
      </w:pPr>
    </w:p>
    <w:p w14:paraId="49F92ED2" w14:textId="77777777" w:rsidR="00F009D9" w:rsidRPr="00F009D9" w:rsidRDefault="00F009D9" w:rsidP="00F009D9">
      <w:pPr>
        <w:pStyle w:val="Heading3"/>
        <w:rPr>
          <w:b/>
        </w:rPr>
      </w:pPr>
      <w:r w:rsidRPr="00F009D9">
        <w:rPr>
          <w:b/>
        </w:rPr>
        <w:t>Pupil Support</w:t>
      </w:r>
    </w:p>
    <w:p w14:paraId="77861709" w14:textId="77777777" w:rsidR="00F009D9" w:rsidRDefault="00F009D9" w:rsidP="00F009D9">
      <w:pPr>
        <w:jc w:val="both"/>
        <w:rPr>
          <w:b/>
          <w:color w:val="2E3B42" w:themeColor="accent2"/>
          <w:sz w:val="28"/>
          <w:szCs w:val="28"/>
        </w:rPr>
      </w:pPr>
    </w:p>
    <w:p w14:paraId="6E2EB1EC" w14:textId="77777777" w:rsidR="00F009D9" w:rsidRDefault="00F009D9" w:rsidP="00F009D9">
      <w:pPr>
        <w:pStyle w:val="ListParagraph"/>
        <w:numPr>
          <w:ilvl w:val="0"/>
          <w:numId w:val="11"/>
        </w:numPr>
        <w:jc w:val="both"/>
        <w:rPr>
          <w:rFonts w:asciiTheme="majorHAnsi" w:hAnsiTheme="majorHAnsi"/>
          <w:bCs/>
          <w:color w:val="000000" w:themeColor="text1"/>
          <w:szCs w:val="24"/>
          <w:lang w:val="en-GB"/>
        </w:rPr>
      </w:pPr>
      <w:r w:rsidRPr="00A76906">
        <w:rPr>
          <w:rFonts w:asciiTheme="majorHAnsi" w:hAnsiTheme="majorHAnsi"/>
          <w:b/>
          <w:bCs/>
          <w:color w:val="000000" w:themeColor="text1"/>
          <w:szCs w:val="24"/>
          <w:lang w:val="en-GB"/>
        </w:rPr>
        <w:t>Build relationships;</w:t>
      </w:r>
      <w:r w:rsidRPr="001A1168">
        <w:rPr>
          <w:rFonts w:asciiTheme="majorHAnsi" w:hAnsiTheme="majorHAnsi"/>
          <w:bCs/>
          <w:color w:val="000000" w:themeColor="text1"/>
          <w:szCs w:val="24"/>
          <w:lang w:val="en-GB"/>
        </w:rPr>
        <w:t xml:space="preserve"> provide supportive relationships with pupils and their families, irr</w:t>
      </w:r>
      <w:r w:rsidRPr="00B428E4">
        <w:rPr>
          <w:rFonts w:asciiTheme="majorHAnsi" w:hAnsiTheme="majorHAnsi"/>
          <w:bCs/>
          <w:color w:val="000000" w:themeColor="text1"/>
          <w:szCs w:val="24"/>
          <w:lang w:val="en-GB"/>
        </w:rPr>
        <w:t>espective of their financial and educational background.</w:t>
      </w:r>
    </w:p>
    <w:p w14:paraId="106C9C1B" w14:textId="77777777" w:rsidR="00F009D9" w:rsidRPr="00B428E4" w:rsidRDefault="00F009D9" w:rsidP="00F009D9">
      <w:pPr>
        <w:pStyle w:val="ListParagraph"/>
        <w:jc w:val="both"/>
        <w:rPr>
          <w:rFonts w:asciiTheme="majorHAnsi" w:hAnsiTheme="majorHAnsi"/>
          <w:bCs/>
          <w:color w:val="000000" w:themeColor="text1"/>
          <w:szCs w:val="24"/>
          <w:lang w:val="en-GB"/>
        </w:rPr>
      </w:pPr>
    </w:p>
    <w:p w14:paraId="31AD648B" w14:textId="77777777" w:rsidR="00F009D9" w:rsidRPr="00062663" w:rsidRDefault="00F009D9" w:rsidP="00F009D9">
      <w:pPr>
        <w:pStyle w:val="ListParagraph"/>
        <w:numPr>
          <w:ilvl w:val="0"/>
          <w:numId w:val="11"/>
        </w:numPr>
        <w:jc w:val="both"/>
        <w:rPr>
          <w:rFonts w:asciiTheme="majorHAnsi" w:hAnsiTheme="majorHAnsi"/>
          <w:bCs/>
          <w:color w:val="000000" w:themeColor="text1"/>
          <w:szCs w:val="24"/>
          <w:lang w:val="en-GB"/>
        </w:rPr>
      </w:pPr>
      <w:r w:rsidRPr="00A76906">
        <w:rPr>
          <w:b/>
          <w:szCs w:val="24"/>
          <w:lang w:val="en-GB"/>
        </w:rPr>
        <w:t>Offer pupils extra support if possible,</w:t>
      </w:r>
      <w:r w:rsidRPr="00B428E4">
        <w:rPr>
          <w:szCs w:val="24"/>
          <w:lang w:val="en-GB"/>
        </w:rPr>
        <w:t xml:space="preserve"> including individual teaching support, and language support; </w:t>
      </w:r>
    </w:p>
    <w:p w14:paraId="63F6ECD4" w14:textId="77777777" w:rsidR="00F009D9" w:rsidRPr="00B428E4" w:rsidRDefault="00F009D9" w:rsidP="00F009D9">
      <w:pPr>
        <w:pStyle w:val="ListParagraph"/>
        <w:jc w:val="both"/>
        <w:rPr>
          <w:rFonts w:asciiTheme="majorHAnsi" w:hAnsiTheme="majorHAnsi"/>
          <w:bCs/>
          <w:color w:val="000000" w:themeColor="text1"/>
          <w:szCs w:val="24"/>
          <w:lang w:val="en-GB"/>
        </w:rPr>
      </w:pPr>
    </w:p>
    <w:p w14:paraId="12E87409" w14:textId="77777777" w:rsidR="00F009D9" w:rsidRDefault="00F009D9" w:rsidP="00F009D9">
      <w:pPr>
        <w:pStyle w:val="ListParagraph"/>
        <w:numPr>
          <w:ilvl w:val="0"/>
          <w:numId w:val="11"/>
        </w:numPr>
        <w:jc w:val="both"/>
        <w:rPr>
          <w:rFonts w:asciiTheme="majorHAnsi" w:hAnsiTheme="majorHAnsi"/>
          <w:bCs/>
          <w:color w:val="000000" w:themeColor="text1"/>
          <w:szCs w:val="24"/>
          <w:lang w:val="en-GB"/>
        </w:rPr>
      </w:pPr>
      <w:r w:rsidRPr="00A76906">
        <w:rPr>
          <w:rFonts w:asciiTheme="majorHAnsi" w:hAnsiTheme="majorHAnsi"/>
          <w:b/>
          <w:bCs/>
          <w:color w:val="000000" w:themeColor="text1"/>
          <w:szCs w:val="24"/>
          <w:lang w:val="en-GB"/>
        </w:rPr>
        <w:t>Provide school canteen discounts for pupils coming from low-income families.</w:t>
      </w:r>
      <w:r w:rsidRPr="00607063">
        <w:rPr>
          <w:rFonts w:asciiTheme="majorHAnsi" w:hAnsiTheme="majorHAnsi"/>
          <w:bCs/>
          <w:color w:val="000000" w:themeColor="text1"/>
          <w:szCs w:val="24"/>
          <w:lang w:val="en-GB"/>
        </w:rPr>
        <w:t xml:space="preserve"> These should be provided discreetly.</w:t>
      </w:r>
    </w:p>
    <w:p w14:paraId="7AB829C6" w14:textId="77777777" w:rsidR="00F009D9" w:rsidRPr="00607063" w:rsidRDefault="00F009D9" w:rsidP="00F009D9">
      <w:pPr>
        <w:pStyle w:val="ListParagraph"/>
        <w:jc w:val="both"/>
        <w:rPr>
          <w:rFonts w:asciiTheme="majorHAnsi" w:hAnsiTheme="majorHAnsi"/>
          <w:bCs/>
          <w:color w:val="000000" w:themeColor="text1"/>
          <w:szCs w:val="24"/>
          <w:lang w:val="en-GB"/>
        </w:rPr>
      </w:pPr>
    </w:p>
    <w:p w14:paraId="06278D17" w14:textId="77777777" w:rsidR="00F009D9" w:rsidRDefault="00F009D9" w:rsidP="00F009D9">
      <w:pPr>
        <w:pStyle w:val="ListParagraph"/>
        <w:numPr>
          <w:ilvl w:val="0"/>
          <w:numId w:val="11"/>
        </w:numPr>
        <w:jc w:val="both"/>
        <w:rPr>
          <w:rFonts w:asciiTheme="majorHAnsi" w:hAnsiTheme="majorHAnsi"/>
          <w:bCs/>
          <w:color w:val="000000" w:themeColor="text1"/>
          <w:szCs w:val="24"/>
          <w:lang w:val="en-GB"/>
        </w:rPr>
      </w:pPr>
      <w:r w:rsidRPr="00A76906">
        <w:rPr>
          <w:rFonts w:asciiTheme="majorHAnsi" w:hAnsiTheme="majorHAnsi"/>
          <w:b/>
          <w:bCs/>
          <w:color w:val="000000" w:themeColor="text1"/>
          <w:szCs w:val="24"/>
          <w:lang w:val="en-GB"/>
        </w:rPr>
        <w:t>Arrange meetings between the parents and the staff to discuss a pupil’s progress,</w:t>
      </w:r>
      <w:r w:rsidRPr="001A1168">
        <w:rPr>
          <w:rFonts w:asciiTheme="majorHAnsi" w:hAnsiTheme="majorHAnsi"/>
          <w:bCs/>
          <w:color w:val="000000" w:themeColor="text1"/>
          <w:szCs w:val="24"/>
          <w:lang w:val="en-GB"/>
        </w:rPr>
        <w:t xml:space="preserve"> and to enhance the collaboration between home and school. This will help to monitor progress and to discuss issues that might be related to </w:t>
      </w:r>
      <w:r>
        <w:rPr>
          <w:rFonts w:asciiTheme="majorHAnsi" w:hAnsiTheme="majorHAnsi"/>
          <w:bCs/>
          <w:color w:val="000000" w:themeColor="text1"/>
          <w:szCs w:val="24"/>
          <w:lang w:val="en-GB"/>
        </w:rPr>
        <w:t>the pupil</w:t>
      </w:r>
      <w:r w:rsidRPr="001A1168">
        <w:rPr>
          <w:rFonts w:asciiTheme="majorHAnsi" w:hAnsiTheme="majorHAnsi"/>
          <w:bCs/>
          <w:color w:val="000000" w:themeColor="text1"/>
          <w:szCs w:val="24"/>
          <w:lang w:val="en-GB"/>
        </w:rPr>
        <w:t>’</w:t>
      </w:r>
      <w:r>
        <w:rPr>
          <w:rFonts w:asciiTheme="majorHAnsi" w:hAnsiTheme="majorHAnsi"/>
          <w:bCs/>
          <w:color w:val="000000" w:themeColor="text1"/>
          <w:szCs w:val="24"/>
          <w:lang w:val="en-GB"/>
        </w:rPr>
        <w:t>s</w:t>
      </w:r>
      <w:r w:rsidRPr="001A1168">
        <w:rPr>
          <w:rFonts w:asciiTheme="majorHAnsi" w:hAnsiTheme="majorHAnsi"/>
          <w:bCs/>
          <w:color w:val="000000" w:themeColor="text1"/>
          <w:szCs w:val="24"/>
          <w:lang w:val="en-GB"/>
        </w:rPr>
        <w:t xml:space="preserve"> social life, such as marginalisation, social interactions with peers, behaviour at home and self-esteem.</w:t>
      </w:r>
    </w:p>
    <w:p w14:paraId="365C5E15" w14:textId="77777777" w:rsidR="00F009D9" w:rsidRPr="00607063" w:rsidRDefault="00F009D9" w:rsidP="00F009D9">
      <w:pPr>
        <w:pStyle w:val="ListParagraph"/>
        <w:jc w:val="both"/>
        <w:rPr>
          <w:rFonts w:asciiTheme="majorHAnsi" w:hAnsiTheme="majorHAnsi"/>
          <w:bCs/>
          <w:color w:val="000000" w:themeColor="text1"/>
          <w:szCs w:val="24"/>
          <w:lang w:val="en-GB"/>
        </w:rPr>
      </w:pPr>
    </w:p>
    <w:p w14:paraId="10922459" w14:textId="77777777" w:rsidR="00F009D9" w:rsidRDefault="00F009D9" w:rsidP="00F009D9">
      <w:pPr>
        <w:pStyle w:val="ListParagraph"/>
        <w:numPr>
          <w:ilvl w:val="0"/>
          <w:numId w:val="11"/>
        </w:numPr>
        <w:jc w:val="both"/>
      </w:pPr>
      <w:r w:rsidRPr="00A76906">
        <w:rPr>
          <w:b/>
        </w:rPr>
        <w:t xml:space="preserve">When </w:t>
      </w:r>
      <w:proofErr w:type="spellStart"/>
      <w:r w:rsidRPr="00A76906">
        <w:rPr>
          <w:b/>
        </w:rPr>
        <w:t>organising</w:t>
      </w:r>
      <w:proofErr w:type="spellEnd"/>
      <w:r w:rsidRPr="00A76906">
        <w:rPr>
          <w:b/>
        </w:rPr>
        <w:t xml:space="preserve"> school trips, provide gratuity or reductions for pupils from families with financial challenges. </w:t>
      </w:r>
      <w:r>
        <w:t>These should be provided discreetly.</w:t>
      </w:r>
    </w:p>
    <w:p w14:paraId="51892034" w14:textId="77777777" w:rsidR="00F009D9" w:rsidRPr="00062663" w:rsidRDefault="00F009D9" w:rsidP="00F009D9">
      <w:pPr>
        <w:jc w:val="both"/>
        <w:rPr>
          <w:b/>
          <w:color w:val="2E3B42" w:themeColor="accent2"/>
          <w:sz w:val="28"/>
          <w:szCs w:val="28"/>
          <w:lang w:val="en-GB"/>
        </w:rPr>
      </w:pPr>
    </w:p>
    <w:p w14:paraId="14A55BBC" w14:textId="77777777" w:rsidR="00F009D9" w:rsidRPr="00F009D9" w:rsidRDefault="00F009D9" w:rsidP="00F009D9">
      <w:pPr>
        <w:pStyle w:val="Heading3"/>
        <w:rPr>
          <w:b/>
        </w:rPr>
      </w:pPr>
      <w:r w:rsidRPr="00F009D9">
        <w:rPr>
          <w:b/>
        </w:rPr>
        <w:t>Teacher Professional Development</w:t>
      </w:r>
    </w:p>
    <w:p w14:paraId="26BD03E7" w14:textId="77777777" w:rsidR="00F009D9" w:rsidRDefault="00F009D9" w:rsidP="00F009D9">
      <w:pPr>
        <w:jc w:val="both"/>
        <w:rPr>
          <w:b/>
          <w:color w:val="2E3B42" w:themeColor="accent2"/>
          <w:sz w:val="28"/>
          <w:szCs w:val="28"/>
        </w:rPr>
      </w:pPr>
    </w:p>
    <w:p w14:paraId="3C4B8F22" w14:textId="77777777" w:rsidR="00F009D9" w:rsidRPr="00A76906" w:rsidRDefault="00F009D9" w:rsidP="00F009D9">
      <w:pPr>
        <w:ind w:left="720"/>
        <w:jc w:val="both"/>
        <w:rPr>
          <w:rFonts w:asciiTheme="majorHAnsi" w:hAnsiTheme="majorHAnsi"/>
          <w:bCs/>
          <w:color w:val="000000" w:themeColor="text1"/>
          <w:szCs w:val="24"/>
          <w:lang w:val="en-GB"/>
        </w:rPr>
      </w:pPr>
      <w:r w:rsidRPr="00A76906">
        <w:rPr>
          <w:rFonts w:asciiTheme="majorHAnsi" w:hAnsiTheme="majorHAnsi"/>
          <w:b/>
          <w:bCs/>
          <w:color w:val="000000" w:themeColor="text1"/>
          <w:szCs w:val="24"/>
          <w:lang w:val="en-GB"/>
        </w:rPr>
        <w:t xml:space="preserve">Provide training for teachers, </w:t>
      </w:r>
      <w:r w:rsidRPr="00A76906">
        <w:rPr>
          <w:rFonts w:asciiTheme="majorHAnsi" w:hAnsiTheme="majorHAnsi"/>
          <w:bCs/>
          <w:color w:val="000000" w:themeColor="text1"/>
          <w:szCs w:val="24"/>
          <w:lang w:val="en-GB"/>
        </w:rPr>
        <w:t xml:space="preserve">such as educational psychologist services related to the main difficulties that pupils from large families may encounter in their schooling. </w:t>
      </w:r>
    </w:p>
    <w:p w14:paraId="39BED981" w14:textId="77777777" w:rsidR="00F009D9" w:rsidRDefault="00F009D9" w:rsidP="00F009D9">
      <w:pPr>
        <w:jc w:val="both"/>
        <w:rPr>
          <w:rFonts w:asciiTheme="majorHAnsi" w:hAnsiTheme="majorHAnsi"/>
          <w:bCs/>
          <w:color w:val="000000" w:themeColor="text1"/>
          <w:szCs w:val="24"/>
          <w:lang w:val="en-GB"/>
        </w:rPr>
      </w:pPr>
    </w:p>
    <w:p w14:paraId="69AAEEA5" w14:textId="77777777" w:rsidR="00F009D9" w:rsidRPr="00F009D9" w:rsidRDefault="00F009D9" w:rsidP="00F009D9">
      <w:pPr>
        <w:pStyle w:val="Heading3"/>
        <w:rPr>
          <w:b/>
        </w:rPr>
      </w:pPr>
      <w:r w:rsidRPr="00F009D9">
        <w:rPr>
          <w:b/>
        </w:rPr>
        <w:t>Technology</w:t>
      </w:r>
    </w:p>
    <w:p w14:paraId="5D922667" w14:textId="77777777" w:rsidR="00F009D9" w:rsidRPr="001A1168" w:rsidRDefault="00F009D9" w:rsidP="00F009D9">
      <w:pPr>
        <w:jc w:val="both"/>
        <w:rPr>
          <w:b/>
          <w:color w:val="2E3B42" w:themeColor="accent2"/>
          <w:sz w:val="28"/>
          <w:szCs w:val="28"/>
        </w:rPr>
      </w:pPr>
    </w:p>
    <w:p w14:paraId="7A68F9FF" w14:textId="6C6CB8E5" w:rsidR="00F009D9" w:rsidRPr="00062663" w:rsidRDefault="00F009D9" w:rsidP="00F009D9">
      <w:pPr>
        <w:ind w:left="720"/>
        <w:jc w:val="both"/>
        <w:rPr>
          <w:rFonts w:asciiTheme="majorHAnsi" w:hAnsiTheme="majorHAnsi"/>
          <w:bCs/>
          <w:color w:val="000000" w:themeColor="text1"/>
          <w:szCs w:val="24"/>
          <w:lang w:val="en-GB"/>
        </w:rPr>
      </w:pPr>
      <w:r w:rsidRPr="00A76906">
        <w:rPr>
          <w:rFonts w:asciiTheme="majorHAnsi" w:hAnsiTheme="majorHAnsi"/>
          <w:b/>
          <w:bCs/>
          <w:color w:val="000000" w:themeColor="text1"/>
          <w:szCs w:val="24"/>
          <w:lang w:val="en-GB"/>
        </w:rPr>
        <w:t xml:space="preserve">Equip the classrooms with computers for each pupil </w:t>
      </w:r>
      <w:r w:rsidRPr="00A76906">
        <w:rPr>
          <w:rFonts w:asciiTheme="majorHAnsi" w:hAnsiTheme="majorHAnsi"/>
          <w:bCs/>
          <w:color w:val="000000" w:themeColor="text1"/>
          <w:szCs w:val="24"/>
          <w:lang w:val="en-GB"/>
        </w:rPr>
        <w:t>so as to offer equal learning opportunities for those who do not have a computer at home.</w:t>
      </w:r>
      <w:bookmarkStart w:id="1" w:name="_GoBack"/>
      <w:bookmarkEnd w:id="1"/>
    </w:p>
    <w:p w14:paraId="6000E523" w14:textId="77777777" w:rsidR="00F009D9" w:rsidRPr="00F009D9" w:rsidRDefault="00F009D9" w:rsidP="00F009D9">
      <w:pPr>
        <w:pStyle w:val="Heading3"/>
        <w:jc w:val="both"/>
        <w:rPr>
          <w:b/>
        </w:rPr>
      </w:pPr>
      <w:r w:rsidRPr="00F009D9">
        <w:rPr>
          <w:b/>
        </w:rPr>
        <w:lastRenderedPageBreak/>
        <w:t>Supportive Literature</w:t>
      </w:r>
    </w:p>
    <w:p w14:paraId="1D6359F7" w14:textId="77777777" w:rsidR="00F009D9" w:rsidRPr="00E276E5" w:rsidRDefault="00F009D9" w:rsidP="00F009D9">
      <w:pPr>
        <w:jc w:val="both"/>
      </w:pPr>
    </w:p>
    <w:p w14:paraId="077F21F0" w14:textId="77777777" w:rsidR="00F009D9" w:rsidRPr="00E276E5" w:rsidRDefault="00F009D9" w:rsidP="00F009D9">
      <w:pPr>
        <w:jc w:val="both"/>
        <w:rPr>
          <w:rFonts w:asciiTheme="majorHAnsi" w:hAnsiTheme="majorHAnsi"/>
          <w:color w:val="000000" w:themeColor="text1"/>
          <w:szCs w:val="24"/>
          <w:lang w:val="en-GB" w:eastAsia="fr-FR"/>
        </w:rPr>
      </w:pPr>
      <w:r w:rsidRPr="00E276E5">
        <w:rPr>
          <w:rFonts w:asciiTheme="majorHAnsi" w:hAnsiTheme="majorHAnsi"/>
          <w:b/>
          <w:bCs/>
          <w:color w:val="000000" w:themeColor="text1"/>
          <w:szCs w:val="24"/>
          <w:lang w:val="en-GB"/>
        </w:rPr>
        <w:t xml:space="preserve">Definition: </w:t>
      </w:r>
      <w:r w:rsidRPr="00E276E5">
        <w:rPr>
          <w:rFonts w:asciiTheme="majorHAnsi" w:hAnsiTheme="majorHAnsi"/>
          <w:bCs/>
          <w:color w:val="000000" w:themeColor="text1"/>
          <w:szCs w:val="24"/>
          <w:lang w:val="en-GB"/>
        </w:rPr>
        <w:t xml:space="preserve">According to the European Large Family Confederation, </w:t>
      </w:r>
      <w:r w:rsidRPr="00E276E5">
        <w:rPr>
          <w:rFonts w:asciiTheme="majorHAnsi" w:hAnsiTheme="majorHAnsi"/>
          <w:color w:val="000000" w:themeColor="text1"/>
          <w:szCs w:val="24"/>
          <w:lang w:val="en-GB" w:eastAsia="fr-FR"/>
        </w:rPr>
        <w:t>“t</w:t>
      </w:r>
      <w:r w:rsidRPr="00E276E5">
        <w:rPr>
          <w:rFonts w:asciiTheme="majorHAnsi" w:eastAsia="Times New Roman" w:hAnsiTheme="majorHAnsi"/>
          <w:color w:val="000000" w:themeColor="text1"/>
          <w:szCs w:val="24"/>
          <w:lang w:val="en-GB"/>
        </w:rPr>
        <w:t>he term ‘large family’ shall have the meaning determined in its Statutes or by the legislation of its respective country. Since this size is not the same in all member organizations, a large family is considered to be one that is raising three or more children.”</w:t>
      </w:r>
      <w:r w:rsidRPr="00E276E5">
        <w:rPr>
          <w:rFonts w:asciiTheme="majorHAnsi" w:hAnsiTheme="majorHAnsi"/>
          <w:color w:val="000000" w:themeColor="text1"/>
          <w:szCs w:val="24"/>
          <w:lang w:val="en-GB" w:eastAsia="fr-FR"/>
        </w:rPr>
        <w:t xml:space="preserve"> (</w:t>
      </w:r>
      <w:hyperlink r:id="rId13" w:history="1">
        <w:r w:rsidRPr="00E276E5">
          <w:rPr>
            <w:rStyle w:val="Hyperlink"/>
            <w:rFonts w:asciiTheme="majorHAnsi" w:hAnsiTheme="majorHAnsi"/>
            <w:szCs w:val="24"/>
            <w:lang w:val="en-GB" w:eastAsia="fr-FR"/>
          </w:rPr>
          <w:t>http://www.elfac.org/fileadmin/user_upload/PDF/STATUTES_ELFAC.pdf</w:t>
        </w:r>
      </w:hyperlink>
      <w:r w:rsidRPr="00E276E5">
        <w:rPr>
          <w:rFonts w:asciiTheme="majorHAnsi" w:hAnsiTheme="majorHAnsi"/>
          <w:color w:val="000000" w:themeColor="text1"/>
          <w:szCs w:val="24"/>
          <w:lang w:val="en-GB" w:eastAsia="fr-FR"/>
        </w:rPr>
        <w:t>)</w:t>
      </w:r>
    </w:p>
    <w:p w14:paraId="3345B96C" w14:textId="77777777" w:rsidR="00F009D9" w:rsidRPr="00E276E5" w:rsidRDefault="00F009D9" w:rsidP="00F009D9">
      <w:pPr>
        <w:jc w:val="both"/>
        <w:rPr>
          <w:rFonts w:asciiTheme="majorHAnsi" w:hAnsiTheme="majorHAnsi"/>
          <w:color w:val="000000" w:themeColor="text1"/>
          <w:szCs w:val="24"/>
          <w:lang w:val="en-GB" w:eastAsia="fr-FR"/>
        </w:rPr>
      </w:pPr>
    </w:p>
    <w:p w14:paraId="14E737C8" w14:textId="77777777" w:rsidR="00F009D9" w:rsidRDefault="00F009D9" w:rsidP="00F009D9">
      <w:pPr>
        <w:jc w:val="both"/>
        <w:rPr>
          <w:rFonts w:asciiTheme="majorHAnsi" w:hAnsiTheme="majorHAnsi"/>
          <w:b/>
          <w:color w:val="000000" w:themeColor="text1"/>
          <w:szCs w:val="24"/>
          <w:lang w:val="en-GB" w:eastAsia="el-GR"/>
        </w:rPr>
      </w:pPr>
      <w:r w:rsidRPr="00E276E5">
        <w:rPr>
          <w:rFonts w:asciiTheme="majorHAnsi" w:hAnsiTheme="majorHAnsi"/>
          <w:b/>
          <w:color w:val="000000" w:themeColor="text1"/>
          <w:szCs w:val="24"/>
          <w:lang w:val="en-GB" w:eastAsia="el-GR"/>
        </w:rPr>
        <w:t>Characteristics:</w:t>
      </w:r>
    </w:p>
    <w:p w14:paraId="0553BB71" w14:textId="77777777" w:rsidR="00F009D9" w:rsidRDefault="00F009D9" w:rsidP="00F009D9">
      <w:pPr>
        <w:jc w:val="both"/>
        <w:rPr>
          <w:rFonts w:asciiTheme="majorHAnsi" w:eastAsia="Times New Roman" w:hAnsiTheme="majorHAnsi"/>
          <w:color w:val="000000" w:themeColor="text1"/>
          <w:szCs w:val="24"/>
          <w:lang w:val="en-GB"/>
        </w:rPr>
      </w:pPr>
      <w:r w:rsidRPr="00E276E5">
        <w:rPr>
          <w:rFonts w:asciiTheme="majorHAnsi" w:eastAsia="Times New Roman" w:hAnsiTheme="majorHAnsi"/>
          <w:color w:val="000000" w:themeColor="text1"/>
          <w:szCs w:val="24"/>
          <w:lang w:val="en-GB"/>
        </w:rPr>
        <w:t xml:space="preserve">According to Livia </w:t>
      </w:r>
      <w:proofErr w:type="spellStart"/>
      <w:r w:rsidRPr="00E276E5">
        <w:rPr>
          <w:rFonts w:asciiTheme="majorHAnsi" w:eastAsia="Times New Roman" w:hAnsiTheme="majorHAnsi"/>
          <w:color w:val="000000" w:themeColor="text1"/>
          <w:szCs w:val="24"/>
          <w:lang w:val="en-GB"/>
        </w:rPr>
        <w:t>Sz</w:t>
      </w:r>
      <w:proofErr w:type="spellEnd"/>
      <w:r w:rsidRPr="00E276E5">
        <w:rPr>
          <w:rFonts w:asciiTheme="majorHAnsi" w:eastAsia="Times New Roman" w:hAnsiTheme="majorHAnsi"/>
          <w:color w:val="000000" w:themeColor="text1"/>
          <w:szCs w:val="24"/>
          <w:lang w:val="en-GB"/>
        </w:rPr>
        <w:t xml:space="preserve">. </w:t>
      </w:r>
      <w:proofErr w:type="spellStart"/>
      <w:r w:rsidRPr="00E276E5">
        <w:rPr>
          <w:rFonts w:asciiTheme="majorHAnsi" w:eastAsia="Times New Roman" w:hAnsiTheme="majorHAnsi"/>
          <w:color w:val="000000" w:themeColor="text1"/>
          <w:szCs w:val="24"/>
          <w:lang w:val="en-GB"/>
        </w:rPr>
        <w:t>Olah</w:t>
      </w:r>
      <w:proofErr w:type="spellEnd"/>
      <w:r w:rsidRPr="00E276E5">
        <w:rPr>
          <w:rFonts w:asciiTheme="majorHAnsi" w:eastAsia="Times New Roman" w:hAnsiTheme="majorHAnsi"/>
          <w:color w:val="000000" w:themeColor="text1"/>
          <w:szCs w:val="24"/>
          <w:lang w:val="en-GB"/>
        </w:rPr>
        <w:t>, “large families with 4 or more children are rare in Europe, ranging between 0.6-1.5 per cent in Southern Europe (with h</w:t>
      </w:r>
      <w:r>
        <w:rPr>
          <w:rFonts w:asciiTheme="majorHAnsi" w:eastAsia="Times New Roman" w:hAnsiTheme="majorHAnsi"/>
          <w:color w:val="000000" w:themeColor="text1"/>
          <w:szCs w:val="24"/>
          <w:lang w:val="en-GB"/>
        </w:rPr>
        <w:t>igher prevalence in Cyprus and</w:t>
      </w:r>
      <w:r w:rsidRPr="00E276E5">
        <w:rPr>
          <w:rFonts w:asciiTheme="majorHAnsi" w:eastAsia="Times New Roman" w:hAnsiTheme="majorHAnsi"/>
          <w:color w:val="000000" w:themeColor="text1"/>
          <w:szCs w:val="24"/>
          <w:lang w:val="en-GB"/>
        </w:rPr>
        <w:t xml:space="preserve"> Greece), to 3- 4 per cent in Anglo-Saxon countries and Western Europe, and more than 5 per cent in Hungary and Finland.</w:t>
      </w:r>
    </w:p>
    <w:p w14:paraId="784A91F9" w14:textId="77777777" w:rsidR="00F009D9" w:rsidRPr="00E276E5" w:rsidRDefault="00F009D9" w:rsidP="00F009D9">
      <w:pPr>
        <w:jc w:val="both"/>
        <w:rPr>
          <w:rFonts w:asciiTheme="majorHAnsi" w:hAnsiTheme="majorHAnsi"/>
          <w:b/>
          <w:color w:val="000000" w:themeColor="text1"/>
          <w:szCs w:val="24"/>
          <w:lang w:val="en-GB" w:eastAsia="el-GR"/>
        </w:rPr>
      </w:pPr>
    </w:p>
    <w:p w14:paraId="5FCEF8F0"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eastAsia="Times New Roman" w:hAnsiTheme="majorHAnsi"/>
          <w:color w:val="000000" w:themeColor="text1"/>
          <w:szCs w:val="24"/>
          <w:lang w:val="en-GB"/>
        </w:rPr>
        <w:t>We find for countries of high-fertility regions that a relatively large portion of family benefits was spent on services. This is seen only for the most recent years for Southern - and Central-East European countries, except for Hungary where mothers with very young children have extremely low labour force participation rate, hence the service-expenditures probably reflect care-services for older children, which may have less impact on fertility levels.”</w:t>
      </w:r>
    </w:p>
    <w:p w14:paraId="2230F637"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eastAsia="Times New Roman" w:hAnsiTheme="majorHAnsi"/>
          <w:color w:val="000000" w:themeColor="text1"/>
          <w:szCs w:val="24"/>
          <w:lang w:val="en-GB"/>
        </w:rPr>
        <w:t xml:space="preserve"> (</w:t>
      </w:r>
      <w:hyperlink r:id="rId14" w:history="1">
        <w:r w:rsidRPr="00E276E5">
          <w:rPr>
            <w:rStyle w:val="Hyperlink"/>
            <w:rFonts w:asciiTheme="majorHAnsi" w:hAnsiTheme="majorHAnsi"/>
            <w:szCs w:val="24"/>
            <w:lang w:val="en-GB"/>
          </w:rPr>
          <w:t>http://www.un.org/esa/socdev/family/docs/egm15/Olahpaper.pdf</w:t>
        </w:r>
      </w:hyperlink>
      <w:r w:rsidRPr="00E276E5">
        <w:rPr>
          <w:rFonts w:asciiTheme="majorHAnsi" w:eastAsia="Times New Roman" w:hAnsiTheme="majorHAnsi"/>
          <w:color w:val="000000" w:themeColor="text1"/>
          <w:szCs w:val="24"/>
          <w:lang w:val="en-GB"/>
        </w:rPr>
        <w:t>)</w:t>
      </w:r>
    </w:p>
    <w:p w14:paraId="4B626C74" w14:textId="77777777" w:rsidR="00F009D9" w:rsidRDefault="00F009D9" w:rsidP="00F009D9">
      <w:pPr>
        <w:jc w:val="both"/>
        <w:rPr>
          <w:rFonts w:asciiTheme="majorHAnsi" w:hAnsiTheme="majorHAnsi"/>
          <w:b/>
          <w:color w:val="000000" w:themeColor="text1"/>
          <w:szCs w:val="24"/>
          <w:lang w:val="en-GB"/>
        </w:rPr>
      </w:pPr>
    </w:p>
    <w:p w14:paraId="19E77B21" w14:textId="77777777" w:rsidR="00F009D9" w:rsidRPr="00E276E5" w:rsidRDefault="00F009D9" w:rsidP="00F009D9">
      <w:pPr>
        <w:jc w:val="both"/>
        <w:rPr>
          <w:rFonts w:asciiTheme="majorHAnsi" w:hAnsiTheme="majorHAnsi"/>
          <w:b/>
          <w:color w:val="000000" w:themeColor="text1"/>
          <w:szCs w:val="24"/>
          <w:lang w:val="en-GB"/>
        </w:rPr>
      </w:pPr>
      <w:r w:rsidRPr="00E276E5">
        <w:rPr>
          <w:rFonts w:asciiTheme="majorHAnsi" w:hAnsiTheme="majorHAnsi"/>
          <w:b/>
          <w:color w:val="000000" w:themeColor="text1"/>
          <w:szCs w:val="24"/>
          <w:lang w:val="en-GB"/>
        </w:rPr>
        <w:t>Important factors to support families:</w:t>
      </w:r>
    </w:p>
    <w:p w14:paraId="606B646C"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hAnsiTheme="majorHAnsi"/>
          <w:color w:val="000000" w:themeColor="text1"/>
          <w:szCs w:val="24"/>
          <w:lang w:val="en-GB"/>
        </w:rPr>
        <w:t xml:space="preserve">1. </w:t>
      </w:r>
      <w:r w:rsidRPr="00E276E5">
        <w:rPr>
          <w:rFonts w:asciiTheme="majorHAnsi" w:eastAsia="Times New Roman" w:hAnsiTheme="majorHAnsi"/>
          <w:color w:val="000000" w:themeColor="text1"/>
          <w:szCs w:val="24"/>
          <w:lang w:val="en-GB"/>
        </w:rPr>
        <w:t xml:space="preserve">Financial support for families through benefits, allowances, grants or benefit supplements. Special attention was given namely if it is about family poverty or large families. </w:t>
      </w:r>
    </w:p>
    <w:p w14:paraId="12F86F5C"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eastAsia="Times New Roman" w:hAnsiTheme="majorHAnsi"/>
          <w:color w:val="000000" w:themeColor="text1"/>
          <w:szCs w:val="24"/>
          <w:lang w:val="en-GB"/>
        </w:rPr>
        <w:t xml:space="preserve">2. The reconciliation of work and family life: this objective also covers the promotion of gender equality in access to employment and the creation of conditions so that working parents, especially mothers, can improve their daily life). </w:t>
      </w:r>
    </w:p>
    <w:p w14:paraId="5FD4D404"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hAnsiTheme="majorHAnsi"/>
          <w:color w:val="000000" w:themeColor="text1"/>
          <w:szCs w:val="24"/>
          <w:lang w:val="en-GB"/>
        </w:rPr>
        <w:t xml:space="preserve">3. </w:t>
      </w:r>
      <w:r w:rsidRPr="00E276E5">
        <w:rPr>
          <w:rFonts w:asciiTheme="majorHAnsi" w:eastAsia="Times New Roman" w:hAnsiTheme="majorHAnsi"/>
          <w:color w:val="000000" w:themeColor="text1"/>
          <w:szCs w:val="24"/>
          <w:lang w:val="en-GB"/>
        </w:rPr>
        <w:t xml:space="preserve">Although service provision is in many ways tied in with policies related to reconciliation of work and family life, it emerged as an autonomous category that includes references to governmental investment in new facilities and/or improving service provision to families in order to increase coverage rates. </w:t>
      </w:r>
    </w:p>
    <w:p w14:paraId="02D6951E"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hAnsiTheme="majorHAnsi"/>
          <w:color w:val="000000" w:themeColor="text1"/>
          <w:szCs w:val="24"/>
          <w:lang w:val="en-GB"/>
        </w:rPr>
        <w:t xml:space="preserve">4. </w:t>
      </w:r>
      <w:r w:rsidRPr="00E276E5">
        <w:rPr>
          <w:rFonts w:asciiTheme="majorHAnsi" w:eastAsia="Times New Roman" w:hAnsiTheme="majorHAnsi"/>
          <w:color w:val="000000" w:themeColor="text1"/>
          <w:szCs w:val="24"/>
          <w:lang w:val="en-GB"/>
        </w:rPr>
        <w:t xml:space="preserve">The definition of policies aimed at the strengthening of family life. This category includes a broad range of objectives related to parenting itself (in terms of the relationship between parents and children), but also to the family institution in general and its role in society (for instance, the fight against increasing divorce rates in the Russian Federation is one example of the general concern over the family as an institution). </w:t>
      </w:r>
    </w:p>
    <w:p w14:paraId="7D235671"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hAnsiTheme="majorHAnsi"/>
          <w:color w:val="000000" w:themeColor="text1"/>
          <w:szCs w:val="24"/>
          <w:lang w:val="en-GB"/>
        </w:rPr>
        <w:t xml:space="preserve">5. </w:t>
      </w:r>
      <w:r w:rsidRPr="00E276E5">
        <w:rPr>
          <w:rFonts w:asciiTheme="majorHAnsi" w:eastAsia="Times New Roman" w:hAnsiTheme="majorHAnsi"/>
          <w:color w:val="000000" w:themeColor="text1"/>
          <w:szCs w:val="24"/>
          <w:lang w:val="en-GB"/>
        </w:rPr>
        <w:t>The last major category which emerged is related to legislative and/or political measures to protect women and children. This includes, namely, the improvement of existing legislation, or the introduction of new laws, with the purpose of enhancing the protection of children living in institutions.”</w:t>
      </w:r>
    </w:p>
    <w:p w14:paraId="4FB8363F" w14:textId="77777777" w:rsidR="00F009D9" w:rsidRPr="00E276E5" w:rsidRDefault="00F009D9" w:rsidP="00F009D9">
      <w:pPr>
        <w:jc w:val="both"/>
        <w:rPr>
          <w:rFonts w:asciiTheme="majorHAnsi" w:eastAsia="Times New Roman" w:hAnsiTheme="majorHAnsi"/>
          <w:color w:val="000000" w:themeColor="text1"/>
          <w:szCs w:val="24"/>
          <w:lang w:val="en-GB"/>
        </w:rPr>
      </w:pPr>
      <w:r w:rsidRPr="00E276E5">
        <w:rPr>
          <w:rFonts w:asciiTheme="majorHAnsi" w:eastAsia="Times New Roman" w:hAnsiTheme="majorHAnsi"/>
          <w:color w:val="000000" w:themeColor="text1"/>
          <w:szCs w:val="24"/>
          <w:lang w:val="en-GB"/>
        </w:rPr>
        <w:t>(</w:t>
      </w:r>
      <w:hyperlink r:id="rId15" w:history="1">
        <w:r w:rsidRPr="00E276E5">
          <w:rPr>
            <w:rStyle w:val="Hyperlink"/>
            <w:rFonts w:asciiTheme="majorHAnsi" w:hAnsiTheme="majorHAnsi"/>
            <w:szCs w:val="24"/>
            <w:lang w:val="en-GB"/>
          </w:rPr>
          <w:t>http://www.leavenetwork.org/fileadmin/Leavenetwork/Links_publications/Family_Policy_in_Council_of_Europe_member_states_en.pdf</w:t>
        </w:r>
      </w:hyperlink>
      <w:r w:rsidRPr="00E276E5">
        <w:rPr>
          <w:rFonts w:asciiTheme="majorHAnsi" w:eastAsia="Times New Roman" w:hAnsiTheme="majorHAnsi"/>
          <w:color w:val="000000" w:themeColor="text1"/>
          <w:szCs w:val="24"/>
          <w:lang w:val="en-GB"/>
        </w:rPr>
        <w:t>, p.22, 23)</w:t>
      </w:r>
    </w:p>
    <w:p w14:paraId="23CC2D16" w14:textId="77777777" w:rsidR="00F009D9" w:rsidRPr="00F36305" w:rsidRDefault="00F009D9" w:rsidP="00F009D9">
      <w:pPr>
        <w:pStyle w:val="yiv9103784343msonormal"/>
        <w:jc w:val="both"/>
        <w:rPr>
          <w:rFonts w:ascii="Calibri" w:eastAsiaTheme="minorEastAsia" w:hAnsi="Calibri" w:cs="Arial"/>
          <w:b/>
          <w:color w:val="ED1651" w:themeColor="accent4"/>
          <w:sz w:val="22"/>
          <w:szCs w:val="22"/>
        </w:rPr>
      </w:pPr>
    </w:p>
    <w:p w14:paraId="6AEA7AA2" w14:textId="77777777" w:rsidR="00F009D9" w:rsidRPr="00F009D9" w:rsidRDefault="00F009D9" w:rsidP="00F009D9">
      <w:pPr>
        <w:pStyle w:val="Heading3"/>
        <w:rPr>
          <w:b/>
        </w:rPr>
      </w:pPr>
      <w:r w:rsidRPr="00F009D9">
        <w:rPr>
          <w:b/>
        </w:rPr>
        <w:t>Useful Websites</w:t>
      </w:r>
    </w:p>
    <w:p w14:paraId="406F8A4B" w14:textId="77777777" w:rsidR="00F009D9" w:rsidRPr="009F3AFC" w:rsidRDefault="00F009D9" w:rsidP="00F009D9">
      <w:pPr>
        <w:jc w:val="both"/>
        <w:rPr>
          <w:sz w:val="16"/>
          <w:lang w:val="en-GB"/>
        </w:rPr>
      </w:pPr>
    </w:p>
    <w:p w14:paraId="12193963" w14:textId="77777777" w:rsidR="00F009D9" w:rsidRPr="00062663" w:rsidRDefault="00F009D9" w:rsidP="00F009D9">
      <w:pPr>
        <w:jc w:val="both"/>
        <w:rPr>
          <w:rFonts w:asciiTheme="majorHAnsi" w:hAnsiTheme="majorHAnsi"/>
          <w:color w:val="000000" w:themeColor="text1"/>
          <w:lang w:val="en-GB"/>
        </w:rPr>
      </w:pPr>
      <w:r w:rsidRPr="00062663">
        <w:rPr>
          <w:rFonts w:asciiTheme="majorHAnsi" w:hAnsiTheme="majorHAnsi"/>
          <w:color w:val="000000" w:themeColor="text1"/>
          <w:lang w:val="en-GB"/>
        </w:rPr>
        <w:t xml:space="preserve">World Health organization </w:t>
      </w:r>
      <w:hyperlink r:id="rId16" w:history="1">
        <w:r w:rsidRPr="00062663">
          <w:rPr>
            <w:rStyle w:val="Hyperlink"/>
            <w:rFonts w:asciiTheme="majorHAnsi" w:hAnsiTheme="majorHAnsi"/>
            <w:color w:val="000000" w:themeColor="text1"/>
            <w:lang w:val="en-GB"/>
          </w:rPr>
          <w:t>www.who.int</w:t>
        </w:r>
      </w:hyperlink>
    </w:p>
    <w:p w14:paraId="6CBB5225" w14:textId="77777777" w:rsidR="00F009D9" w:rsidRPr="00062663" w:rsidRDefault="00F009D9" w:rsidP="00F009D9">
      <w:pPr>
        <w:jc w:val="both"/>
        <w:rPr>
          <w:rFonts w:asciiTheme="majorHAnsi" w:hAnsiTheme="majorHAnsi"/>
          <w:color w:val="000000" w:themeColor="text1"/>
          <w:lang w:val="en-GB"/>
        </w:rPr>
      </w:pPr>
      <w:r w:rsidRPr="00062663">
        <w:rPr>
          <w:rFonts w:asciiTheme="majorHAnsi" w:hAnsiTheme="majorHAnsi"/>
          <w:color w:val="000000" w:themeColor="text1"/>
          <w:lang w:val="en-GB"/>
        </w:rPr>
        <w:t xml:space="preserve">Institute of Child Education and psychology </w:t>
      </w:r>
      <w:hyperlink r:id="rId17" w:history="1">
        <w:r w:rsidRPr="00062663">
          <w:rPr>
            <w:rStyle w:val="Hyperlink"/>
            <w:rFonts w:asciiTheme="majorHAnsi" w:hAnsiTheme="majorHAnsi"/>
            <w:color w:val="000000" w:themeColor="text1"/>
            <w:lang w:val="en-GB"/>
          </w:rPr>
          <w:t>www.icepe.eu</w:t>
        </w:r>
      </w:hyperlink>
    </w:p>
    <w:p w14:paraId="694B44B5" w14:textId="77777777" w:rsidR="00F009D9" w:rsidRPr="00062663" w:rsidRDefault="00F009D9" w:rsidP="00F009D9">
      <w:pPr>
        <w:jc w:val="both"/>
        <w:rPr>
          <w:rFonts w:asciiTheme="majorHAnsi" w:hAnsiTheme="majorHAnsi"/>
          <w:color w:val="000000" w:themeColor="text1"/>
          <w:lang w:val="en-GB"/>
        </w:rPr>
      </w:pPr>
      <w:r w:rsidRPr="00062663">
        <w:rPr>
          <w:rFonts w:asciiTheme="majorHAnsi" w:hAnsiTheme="majorHAnsi"/>
          <w:color w:val="000000" w:themeColor="text1"/>
          <w:lang w:val="en-GB"/>
        </w:rPr>
        <w:t xml:space="preserve">http://www.leavenetwork.org/fileadmin/Leavenetwork/Links_publications/Family_Policy_in_Council_of_Europe_member_states_en.pdf </w:t>
      </w:r>
    </w:p>
    <w:p w14:paraId="0797C9EB" w14:textId="77777777" w:rsidR="00F009D9" w:rsidRPr="00062663" w:rsidRDefault="00F009D9" w:rsidP="00F009D9">
      <w:pPr>
        <w:jc w:val="both"/>
        <w:rPr>
          <w:rFonts w:asciiTheme="majorHAnsi" w:hAnsiTheme="majorHAnsi"/>
          <w:color w:val="000000" w:themeColor="text1"/>
          <w:lang w:val="en-GB"/>
        </w:rPr>
      </w:pPr>
      <w:hyperlink r:id="rId18" w:history="1">
        <w:r w:rsidRPr="00062663">
          <w:rPr>
            <w:rStyle w:val="Hyperlink"/>
            <w:rFonts w:asciiTheme="majorHAnsi" w:hAnsiTheme="majorHAnsi"/>
            <w:color w:val="000000" w:themeColor="text1"/>
            <w:lang w:val="en-GB"/>
          </w:rPr>
          <w:t>http://www.edchange.org/publications/PDK-Pedagogy-of-Engagement.pdf</w:t>
        </w:r>
      </w:hyperlink>
    </w:p>
    <w:p w14:paraId="652A0101" w14:textId="77777777" w:rsidR="00F009D9" w:rsidRPr="00062663" w:rsidRDefault="00F009D9" w:rsidP="00F009D9">
      <w:pPr>
        <w:jc w:val="both"/>
        <w:rPr>
          <w:rFonts w:asciiTheme="majorHAnsi" w:hAnsiTheme="majorHAnsi"/>
          <w:color w:val="000000" w:themeColor="text1"/>
          <w:lang w:val="en-GB"/>
        </w:rPr>
      </w:pPr>
      <w:hyperlink r:id="rId19" w:history="1">
        <w:r w:rsidRPr="00062663">
          <w:rPr>
            <w:rStyle w:val="Hyperlink"/>
            <w:rFonts w:asciiTheme="majorHAnsi" w:hAnsiTheme="majorHAnsi"/>
            <w:color w:val="000000" w:themeColor="text1"/>
            <w:lang w:val="en-GB"/>
          </w:rPr>
          <w:t>http://www.edutopia.org/blog/how-does-poverty-influence-learning-william-parrett-kathleen-budge</w:t>
        </w:r>
      </w:hyperlink>
    </w:p>
    <w:p w14:paraId="17756BE4" w14:textId="77777777" w:rsidR="00F009D9" w:rsidRPr="00062663" w:rsidRDefault="00F009D9" w:rsidP="00F009D9">
      <w:pPr>
        <w:jc w:val="both"/>
        <w:rPr>
          <w:rFonts w:asciiTheme="majorHAnsi" w:hAnsiTheme="majorHAnsi"/>
          <w:color w:val="000000" w:themeColor="text1"/>
          <w:lang w:val="en-GB"/>
        </w:rPr>
      </w:pPr>
      <w:r w:rsidRPr="00062663">
        <w:rPr>
          <w:rFonts w:asciiTheme="majorHAnsi" w:hAnsiTheme="majorHAnsi"/>
          <w:color w:val="000000" w:themeColor="text1"/>
          <w:lang w:val="en-GB"/>
        </w:rPr>
        <w:t xml:space="preserve">http://www.elfac.org/fileadmin/user_upload/PDF/STATUTES_ELFAC.pdf </w:t>
      </w:r>
      <w:hyperlink r:id="rId20" w:history="1">
        <w:r w:rsidRPr="00062663">
          <w:rPr>
            <w:rStyle w:val="Hyperlink"/>
            <w:rFonts w:asciiTheme="majorHAnsi" w:hAnsiTheme="majorHAnsi"/>
            <w:color w:val="000000" w:themeColor="text1"/>
            <w:lang w:val="en-GB"/>
          </w:rPr>
          <w:t>http://www.un.org/esa/socdev/family/docs/egm15/Olahpaper.pdf</w:t>
        </w:r>
      </w:hyperlink>
    </w:p>
    <w:p w14:paraId="0EB8CC38" w14:textId="77777777" w:rsidR="00F009D9" w:rsidRPr="00062663" w:rsidRDefault="00F009D9" w:rsidP="00F009D9">
      <w:pPr>
        <w:jc w:val="both"/>
        <w:rPr>
          <w:rFonts w:asciiTheme="majorHAnsi" w:hAnsiTheme="majorHAnsi"/>
          <w:color w:val="000000" w:themeColor="text1"/>
          <w:lang w:val="en-GB"/>
        </w:rPr>
      </w:pPr>
      <w:r w:rsidRPr="00062663">
        <w:rPr>
          <w:rFonts w:asciiTheme="majorHAnsi" w:hAnsiTheme="majorHAnsi"/>
          <w:color w:val="000000" w:themeColor="text1"/>
          <w:lang w:val="en-GB"/>
        </w:rPr>
        <w:t>https://files.fm/u/cccbx88s</w:t>
      </w:r>
    </w:p>
    <w:p w14:paraId="4492155C" w14:textId="77777777" w:rsidR="00F009D9" w:rsidRPr="00062663" w:rsidRDefault="00F009D9" w:rsidP="00F009D9">
      <w:pPr>
        <w:jc w:val="both"/>
        <w:rPr>
          <w:rFonts w:ascii="Arial" w:hAnsi="Arial"/>
          <w:b/>
          <w:color w:val="002060"/>
          <w:lang w:val="en-GB"/>
        </w:rPr>
      </w:pPr>
    </w:p>
    <w:p w14:paraId="334A367A" w14:textId="77777777" w:rsidR="00F009D9" w:rsidRPr="00F009D9" w:rsidRDefault="00F009D9" w:rsidP="00F009D9">
      <w:pPr>
        <w:pStyle w:val="Heading3"/>
        <w:rPr>
          <w:b/>
        </w:rPr>
      </w:pPr>
      <w:r w:rsidRPr="00F009D9">
        <w:rPr>
          <w:b/>
        </w:rPr>
        <w:t>Relevant Articles and Reports</w:t>
      </w:r>
    </w:p>
    <w:p w14:paraId="4118A7CF" w14:textId="77777777" w:rsidR="00F009D9" w:rsidRPr="00062663" w:rsidRDefault="00F009D9" w:rsidP="00F009D9">
      <w:pPr>
        <w:jc w:val="both"/>
      </w:pPr>
    </w:p>
    <w:p w14:paraId="69EA8098"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 xml:space="preserve">Berliner, D. (2009). Poverty and potential: Out-of-school factors and school success. Tempe, AZ: Education and the </w:t>
      </w:r>
    </w:p>
    <w:p w14:paraId="64544399"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Rouse, C.E. &amp; Barrow, L. (2006). U.S. elementary and secondary schools: Equalizing opportunity or replacing the status quo? The Future of Children, 16(2), 99-123.</w:t>
      </w:r>
    </w:p>
    <w:p w14:paraId="0FB23281" w14:textId="77777777" w:rsidR="00F009D9" w:rsidRPr="00F36305"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 xml:space="preserve">Gorski, P.C. (2012). Perceiving the problem of poverty and schooling: Deconstructing the class stereotypes that </w:t>
      </w:r>
      <w:proofErr w:type="spellStart"/>
      <w:r w:rsidRPr="00062663">
        <w:rPr>
          <w:rFonts w:asciiTheme="majorHAnsi" w:eastAsia="Times New Roman" w:hAnsiTheme="majorHAnsi"/>
          <w:color w:val="000000" w:themeColor="text1"/>
          <w:lang w:val="en-GB"/>
        </w:rPr>
        <w:t>mis</w:t>
      </w:r>
      <w:proofErr w:type="spellEnd"/>
      <w:r w:rsidRPr="00062663">
        <w:rPr>
          <w:rFonts w:asciiTheme="majorHAnsi" w:eastAsia="Times New Roman" w:hAnsiTheme="majorHAnsi"/>
          <w:color w:val="000000" w:themeColor="text1"/>
          <w:lang w:val="en-GB"/>
        </w:rPr>
        <w:t>-shape education policy and practice. Equity &amp; Excellence</w:t>
      </w:r>
      <w:r>
        <w:rPr>
          <w:rFonts w:asciiTheme="majorHAnsi" w:eastAsia="Times New Roman" w:hAnsiTheme="majorHAnsi"/>
          <w:color w:val="000000" w:themeColor="text1"/>
          <w:lang w:val="en-GB"/>
        </w:rPr>
        <w:t xml:space="preserve"> in Education, 45 (2), 302-319.</w:t>
      </w:r>
    </w:p>
    <w:p w14:paraId="696F065E" w14:textId="77777777" w:rsidR="00F009D9" w:rsidRDefault="00F009D9" w:rsidP="00F009D9">
      <w:pPr>
        <w:pStyle w:val="Default"/>
        <w:jc w:val="both"/>
        <w:rPr>
          <w:rFonts w:ascii="Arial" w:hAnsi="Arial" w:cs="Arial"/>
          <w:b/>
          <w:lang w:val="en-GB"/>
        </w:rPr>
      </w:pPr>
    </w:p>
    <w:p w14:paraId="63542A0D" w14:textId="77777777" w:rsidR="00F009D9" w:rsidRPr="00F009D9" w:rsidRDefault="00F009D9" w:rsidP="00F009D9">
      <w:pPr>
        <w:pStyle w:val="Heading3"/>
        <w:rPr>
          <w:b/>
        </w:rPr>
      </w:pPr>
      <w:r w:rsidRPr="00F009D9">
        <w:rPr>
          <w:b/>
        </w:rPr>
        <w:t>EU Reports</w:t>
      </w:r>
    </w:p>
    <w:p w14:paraId="2EDE0FC3" w14:textId="77777777" w:rsidR="00F009D9" w:rsidRPr="00062663" w:rsidRDefault="00F009D9" w:rsidP="00F009D9">
      <w:pPr>
        <w:jc w:val="both"/>
      </w:pPr>
    </w:p>
    <w:p w14:paraId="180F79EB"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European Commission (2007). Europe’s Demogra</w:t>
      </w:r>
      <w:r>
        <w:rPr>
          <w:rFonts w:asciiTheme="majorHAnsi" w:eastAsia="Times New Roman" w:hAnsiTheme="majorHAnsi"/>
          <w:color w:val="000000" w:themeColor="text1"/>
          <w:lang w:val="en-GB"/>
        </w:rPr>
        <w:t>phic Future: Facts and figures.</w:t>
      </w:r>
    </w:p>
    <w:p w14:paraId="24C4EA30"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European Commission (2008). Demography Report 2008: Meeting social needs in an ageing so</w:t>
      </w:r>
      <w:r>
        <w:rPr>
          <w:rFonts w:asciiTheme="majorHAnsi" w:eastAsia="Times New Roman" w:hAnsiTheme="majorHAnsi"/>
          <w:color w:val="000000" w:themeColor="text1"/>
          <w:lang w:val="en-GB"/>
        </w:rPr>
        <w:t>ciety.</w:t>
      </w:r>
    </w:p>
    <w:p w14:paraId="315907A8"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European Commission (2010a). Lisbon</w:t>
      </w:r>
      <w:r>
        <w:rPr>
          <w:rFonts w:asciiTheme="majorHAnsi" w:eastAsia="Times New Roman" w:hAnsiTheme="majorHAnsi"/>
          <w:color w:val="000000" w:themeColor="text1"/>
          <w:lang w:val="en-GB"/>
        </w:rPr>
        <w:t xml:space="preserve"> Strategy evaluation document. </w:t>
      </w:r>
    </w:p>
    <w:p w14:paraId="3F87982A"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European Commission (2010b). Europe 2020: A strategy for smart, su</w:t>
      </w:r>
      <w:r>
        <w:rPr>
          <w:rFonts w:asciiTheme="majorHAnsi" w:eastAsia="Times New Roman" w:hAnsiTheme="majorHAnsi"/>
          <w:color w:val="000000" w:themeColor="text1"/>
          <w:lang w:val="en-GB"/>
        </w:rPr>
        <w:t>stainable and inclusive growth.</w:t>
      </w:r>
    </w:p>
    <w:p w14:paraId="4FE55ED2"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European Commission (2011). Demography Report 2010: Older, more numerous and dive</w:t>
      </w:r>
      <w:r>
        <w:rPr>
          <w:rFonts w:asciiTheme="majorHAnsi" w:eastAsia="Times New Roman" w:hAnsiTheme="majorHAnsi"/>
          <w:color w:val="000000" w:themeColor="text1"/>
          <w:lang w:val="en-GB"/>
        </w:rPr>
        <w:t xml:space="preserve">rse Europeans. </w:t>
      </w:r>
    </w:p>
    <w:p w14:paraId="2D7376C8" w14:textId="77777777" w:rsidR="00F009D9" w:rsidRPr="00062663" w:rsidRDefault="00F009D9" w:rsidP="00F009D9">
      <w:pPr>
        <w:jc w:val="both"/>
        <w:rPr>
          <w:rFonts w:asciiTheme="majorHAnsi" w:eastAsia="Times New Roman" w:hAnsiTheme="majorHAnsi"/>
          <w:color w:val="000000" w:themeColor="text1"/>
          <w:lang w:val="en-GB"/>
        </w:rPr>
      </w:pPr>
      <w:r w:rsidRPr="00062663">
        <w:rPr>
          <w:rFonts w:asciiTheme="majorHAnsi" w:eastAsia="Times New Roman" w:hAnsiTheme="majorHAnsi"/>
          <w:color w:val="000000" w:themeColor="text1"/>
          <w:lang w:val="en-GB"/>
        </w:rPr>
        <w:t xml:space="preserve">European Commission (2013). Barcelona objectives: The development of childcare facilities for young children in Europe with a view to sustainable and inclusive growth. </w:t>
      </w:r>
    </w:p>
    <w:p w14:paraId="41A09DFD" w14:textId="77777777" w:rsidR="00F009D9" w:rsidRPr="001342C2" w:rsidRDefault="00F009D9" w:rsidP="00F009D9">
      <w:pPr>
        <w:pStyle w:val="Default"/>
        <w:jc w:val="both"/>
        <w:rPr>
          <w:rFonts w:ascii="Arial" w:hAnsi="Arial" w:cs="Arial"/>
          <w:lang w:val="en-GB"/>
        </w:rPr>
      </w:pPr>
    </w:p>
    <w:p w14:paraId="49D9C9C0" w14:textId="77777777" w:rsidR="00F009D9" w:rsidRDefault="00F009D9" w:rsidP="00F009D9">
      <w:pPr>
        <w:pStyle w:val="Heading4"/>
        <w:jc w:val="both"/>
      </w:pPr>
      <w:r>
        <w:t>References</w:t>
      </w:r>
    </w:p>
    <w:p w14:paraId="431DB898" w14:textId="77777777" w:rsidR="00F009D9" w:rsidRPr="00062663" w:rsidRDefault="00F009D9" w:rsidP="00F009D9">
      <w:pPr>
        <w:jc w:val="both"/>
      </w:pPr>
    </w:p>
    <w:p w14:paraId="663F83FF" w14:textId="77777777" w:rsidR="00F009D9" w:rsidRDefault="00F009D9" w:rsidP="00F009D9">
      <w:pPr>
        <w:jc w:val="both"/>
        <w:rPr>
          <w:rFonts w:asciiTheme="majorHAnsi" w:hAnsiTheme="majorHAnsi"/>
          <w:sz w:val="16"/>
          <w:szCs w:val="24"/>
          <w:lang w:val="en-GB" w:eastAsia="fr-FR"/>
        </w:rPr>
      </w:pPr>
      <w:r w:rsidRPr="00394C2F">
        <w:rPr>
          <w:rFonts w:asciiTheme="majorHAnsi" w:hAnsiTheme="majorHAnsi"/>
          <w:sz w:val="16"/>
          <w:szCs w:val="24"/>
          <w:lang w:val="en-GB" w:eastAsia="fr-FR"/>
        </w:rPr>
        <w:t xml:space="preserve">Beegle, D. M. (2006). </w:t>
      </w:r>
      <w:r w:rsidRPr="00394C2F">
        <w:rPr>
          <w:rFonts w:asciiTheme="majorHAnsi" w:hAnsiTheme="majorHAnsi"/>
          <w:i/>
          <w:iCs/>
          <w:sz w:val="16"/>
          <w:szCs w:val="24"/>
          <w:lang w:val="en-GB" w:eastAsia="fr-FR"/>
        </w:rPr>
        <w:t>See poverty . . . be the difference! Discover the missing pieces for helping people move out of poverty.</w:t>
      </w:r>
      <w:r w:rsidRPr="00394C2F">
        <w:rPr>
          <w:rFonts w:asciiTheme="majorHAnsi" w:hAnsiTheme="majorHAnsi"/>
          <w:sz w:val="16"/>
          <w:szCs w:val="24"/>
          <w:lang w:val="en-GB" w:eastAsia="fr-FR"/>
        </w:rPr>
        <w:t xml:space="preserve"> Tigard, OR: Communication </w:t>
      </w:r>
      <w:proofErr w:type="gramStart"/>
      <w:r w:rsidRPr="00394C2F">
        <w:rPr>
          <w:rFonts w:asciiTheme="majorHAnsi" w:hAnsiTheme="majorHAnsi"/>
          <w:sz w:val="16"/>
          <w:szCs w:val="24"/>
          <w:lang w:val="en-GB" w:eastAsia="fr-FR"/>
        </w:rPr>
        <w:t>Across</w:t>
      </w:r>
      <w:proofErr w:type="gramEnd"/>
      <w:r w:rsidRPr="00394C2F">
        <w:rPr>
          <w:rFonts w:asciiTheme="majorHAnsi" w:hAnsiTheme="majorHAnsi"/>
          <w:sz w:val="16"/>
          <w:szCs w:val="24"/>
          <w:lang w:val="en-GB" w:eastAsia="fr-FR"/>
        </w:rPr>
        <w:t xml:space="preserve"> Barriers. </w:t>
      </w:r>
    </w:p>
    <w:p w14:paraId="2DB7B33E" w14:textId="77777777" w:rsidR="00F009D9" w:rsidRPr="00394C2F" w:rsidRDefault="00F009D9" w:rsidP="00F009D9">
      <w:pPr>
        <w:jc w:val="both"/>
        <w:rPr>
          <w:rFonts w:asciiTheme="majorHAnsi" w:hAnsiTheme="majorHAnsi"/>
          <w:sz w:val="16"/>
          <w:szCs w:val="24"/>
          <w:lang w:val="en-GB" w:eastAsia="fr-FR"/>
        </w:rPr>
      </w:pPr>
    </w:p>
    <w:p w14:paraId="7B6410AF" w14:textId="77777777" w:rsidR="00F009D9" w:rsidRDefault="00F009D9" w:rsidP="00F009D9">
      <w:pPr>
        <w:jc w:val="both"/>
        <w:rPr>
          <w:rFonts w:asciiTheme="majorHAnsi" w:hAnsiTheme="majorHAnsi"/>
          <w:sz w:val="16"/>
          <w:szCs w:val="24"/>
          <w:lang w:val="en-GB" w:eastAsia="fr-FR"/>
        </w:rPr>
      </w:pPr>
      <w:proofErr w:type="spellStart"/>
      <w:r w:rsidRPr="00394C2F">
        <w:rPr>
          <w:rFonts w:asciiTheme="majorHAnsi" w:hAnsiTheme="majorHAnsi"/>
          <w:sz w:val="16"/>
          <w:szCs w:val="24"/>
          <w:lang w:val="en-GB" w:eastAsia="fr-FR"/>
        </w:rPr>
        <w:t>Ciaccio</w:t>
      </w:r>
      <w:proofErr w:type="spellEnd"/>
      <w:r w:rsidRPr="00394C2F">
        <w:rPr>
          <w:rFonts w:asciiTheme="majorHAnsi" w:hAnsiTheme="majorHAnsi"/>
          <w:sz w:val="16"/>
          <w:szCs w:val="24"/>
          <w:lang w:val="en-GB" w:eastAsia="fr-FR"/>
        </w:rPr>
        <w:t xml:space="preserve">, J. (2000). "A teacher's chance for immortality." </w:t>
      </w:r>
      <w:r w:rsidRPr="00394C2F">
        <w:rPr>
          <w:rFonts w:asciiTheme="majorHAnsi" w:hAnsiTheme="majorHAnsi"/>
          <w:i/>
          <w:iCs/>
          <w:sz w:val="16"/>
          <w:szCs w:val="24"/>
          <w:lang w:val="en-GB" w:eastAsia="fr-FR"/>
        </w:rPr>
        <w:t>Education Digest, 65</w:t>
      </w:r>
      <w:r w:rsidRPr="00394C2F">
        <w:rPr>
          <w:rFonts w:asciiTheme="majorHAnsi" w:hAnsiTheme="majorHAnsi"/>
          <w:sz w:val="16"/>
          <w:szCs w:val="24"/>
          <w:lang w:val="en-GB" w:eastAsia="fr-FR"/>
        </w:rPr>
        <w:t xml:space="preserve">(6), pp.44-48. </w:t>
      </w:r>
    </w:p>
    <w:p w14:paraId="48E10E7F" w14:textId="77777777" w:rsidR="00F009D9" w:rsidRPr="00394C2F" w:rsidRDefault="00F009D9" w:rsidP="00F009D9">
      <w:pPr>
        <w:jc w:val="both"/>
        <w:rPr>
          <w:rFonts w:asciiTheme="majorHAnsi" w:hAnsiTheme="majorHAnsi"/>
          <w:sz w:val="16"/>
          <w:szCs w:val="24"/>
          <w:lang w:val="en-GB" w:eastAsia="fr-FR"/>
        </w:rPr>
      </w:pPr>
    </w:p>
    <w:p w14:paraId="7CF600F7" w14:textId="77777777" w:rsidR="00F009D9" w:rsidRDefault="00F009D9" w:rsidP="00F009D9">
      <w:pPr>
        <w:jc w:val="both"/>
        <w:rPr>
          <w:rFonts w:asciiTheme="majorHAnsi" w:hAnsiTheme="majorHAnsi"/>
          <w:sz w:val="16"/>
          <w:szCs w:val="24"/>
          <w:lang w:val="en-GB" w:eastAsia="fr-FR"/>
        </w:rPr>
      </w:pPr>
      <w:proofErr w:type="spellStart"/>
      <w:r w:rsidRPr="00394C2F">
        <w:rPr>
          <w:rFonts w:asciiTheme="majorHAnsi" w:hAnsiTheme="majorHAnsi"/>
          <w:sz w:val="16"/>
          <w:szCs w:val="24"/>
          <w:lang w:val="en-GB" w:eastAsia="fr-FR"/>
        </w:rPr>
        <w:t>Conrath</w:t>
      </w:r>
      <w:proofErr w:type="spellEnd"/>
      <w:r w:rsidRPr="00394C2F">
        <w:rPr>
          <w:rFonts w:asciiTheme="majorHAnsi" w:hAnsiTheme="majorHAnsi"/>
          <w:sz w:val="16"/>
          <w:szCs w:val="24"/>
          <w:lang w:val="en-GB" w:eastAsia="fr-FR"/>
        </w:rPr>
        <w:t xml:space="preserve">, J. (2001). "Changing the odds for young people: Next steps for alternative education." </w:t>
      </w:r>
      <w:r w:rsidRPr="00394C2F">
        <w:rPr>
          <w:rFonts w:asciiTheme="majorHAnsi" w:hAnsiTheme="majorHAnsi"/>
          <w:i/>
          <w:iCs/>
          <w:sz w:val="16"/>
          <w:szCs w:val="24"/>
          <w:lang w:val="en-GB" w:eastAsia="fr-FR"/>
        </w:rPr>
        <w:t xml:space="preserve">Phi Delta </w:t>
      </w:r>
      <w:proofErr w:type="spellStart"/>
      <w:r w:rsidRPr="00394C2F">
        <w:rPr>
          <w:rFonts w:asciiTheme="majorHAnsi" w:hAnsiTheme="majorHAnsi"/>
          <w:i/>
          <w:iCs/>
          <w:sz w:val="16"/>
          <w:szCs w:val="24"/>
          <w:lang w:val="en-GB" w:eastAsia="fr-FR"/>
        </w:rPr>
        <w:t>Kappan</w:t>
      </w:r>
      <w:proofErr w:type="spellEnd"/>
      <w:r w:rsidRPr="00394C2F">
        <w:rPr>
          <w:rFonts w:asciiTheme="majorHAnsi" w:hAnsiTheme="majorHAnsi"/>
          <w:i/>
          <w:iCs/>
          <w:sz w:val="16"/>
          <w:szCs w:val="24"/>
          <w:lang w:val="en-GB" w:eastAsia="fr-FR"/>
        </w:rPr>
        <w:t>, 82</w:t>
      </w:r>
      <w:r w:rsidRPr="00394C2F">
        <w:rPr>
          <w:rFonts w:asciiTheme="majorHAnsi" w:hAnsiTheme="majorHAnsi"/>
          <w:sz w:val="16"/>
          <w:szCs w:val="24"/>
          <w:lang w:val="en-GB" w:eastAsia="fr-FR"/>
        </w:rPr>
        <w:t xml:space="preserve">(8), pp.585-587. </w:t>
      </w:r>
    </w:p>
    <w:p w14:paraId="048FF3FA" w14:textId="77777777" w:rsidR="00F009D9" w:rsidRPr="00394C2F" w:rsidRDefault="00F009D9" w:rsidP="00F009D9">
      <w:pPr>
        <w:jc w:val="both"/>
        <w:rPr>
          <w:rFonts w:asciiTheme="majorHAnsi" w:hAnsiTheme="majorHAnsi"/>
          <w:sz w:val="16"/>
          <w:szCs w:val="24"/>
          <w:lang w:val="en-GB" w:eastAsia="fr-FR"/>
        </w:rPr>
      </w:pPr>
    </w:p>
    <w:p w14:paraId="218F7532" w14:textId="77777777" w:rsidR="00F009D9" w:rsidRDefault="00F009D9" w:rsidP="00F009D9">
      <w:pPr>
        <w:jc w:val="both"/>
        <w:rPr>
          <w:rFonts w:asciiTheme="majorHAnsi" w:eastAsia="Times New Roman" w:hAnsiTheme="majorHAnsi"/>
          <w:color w:val="000000" w:themeColor="text1"/>
          <w:sz w:val="16"/>
          <w:szCs w:val="24"/>
          <w:lang w:val="en-GB"/>
        </w:rPr>
      </w:pPr>
      <w:r w:rsidRPr="00394C2F">
        <w:rPr>
          <w:rFonts w:asciiTheme="majorHAnsi" w:eastAsia="Times New Roman" w:hAnsiTheme="majorHAnsi"/>
          <w:color w:val="000000" w:themeColor="text1"/>
          <w:sz w:val="16"/>
          <w:szCs w:val="24"/>
          <w:lang w:val="en-GB"/>
        </w:rPr>
        <w:t xml:space="preserve">Daly, M. &amp; J. Lewis (2000). </w:t>
      </w:r>
      <w:r w:rsidRPr="00394C2F">
        <w:rPr>
          <w:rFonts w:asciiTheme="majorHAnsi" w:eastAsia="Times New Roman" w:hAnsiTheme="majorHAnsi"/>
          <w:i/>
          <w:color w:val="000000" w:themeColor="text1"/>
          <w:sz w:val="16"/>
          <w:szCs w:val="24"/>
          <w:lang w:val="en-GB"/>
        </w:rPr>
        <w:t>The concept of social care and the analysis of contemporary welfare states</w:t>
      </w:r>
      <w:r w:rsidRPr="00394C2F">
        <w:rPr>
          <w:rFonts w:asciiTheme="majorHAnsi" w:eastAsia="Times New Roman" w:hAnsiTheme="majorHAnsi"/>
          <w:color w:val="000000" w:themeColor="text1"/>
          <w:sz w:val="16"/>
          <w:szCs w:val="24"/>
          <w:lang w:val="en-GB"/>
        </w:rPr>
        <w:t>, The British Journ</w:t>
      </w:r>
      <w:r>
        <w:rPr>
          <w:rFonts w:asciiTheme="majorHAnsi" w:eastAsia="Times New Roman" w:hAnsiTheme="majorHAnsi"/>
          <w:color w:val="000000" w:themeColor="text1"/>
          <w:sz w:val="16"/>
          <w:szCs w:val="24"/>
          <w:lang w:val="en-GB"/>
        </w:rPr>
        <w:t>al of Sociology 51(2), 281–298.</w:t>
      </w:r>
    </w:p>
    <w:p w14:paraId="178FBB8F" w14:textId="77777777" w:rsidR="00F009D9" w:rsidRPr="00062663" w:rsidRDefault="00F009D9" w:rsidP="00F009D9">
      <w:pPr>
        <w:jc w:val="both"/>
        <w:rPr>
          <w:rFonts w:asciiTheme="majorHAnsi" w:eastAsia="Times New Roman" w:hAnsiTheme="majorHAnsi"/>
          <w:color w:val="000000" w:themeColor="text1"/>
          <w:sz w:val="16"/>
          <w:szCs w:val="24"/>
          <w:lang w:val="en-GB"/>
        </w:rPr>
      </w:pPr>
    </w:p>
    <w:p w14:paraId="001B1FDD" w14:textId="77777777" w:rsidR="00F009D9" w:rsidRDefault="00F009D9" w:rsidP="00F009D9">
      <w:pPr>
        <w:jc w:val="both"/>
        <w:rPr>
          <w:rFonts w:asciiTheme="majorHAnsi" w:hAnsiTheme="majorHAnsi"/>
          <w:sz w:val="16"/>
          <w:szCs w:val="24"/>
          <w:lang w:val="en-GB" w:eastAsia="fr-FR"/>
        </w:rPr>
      </w:pPr>
      <w:r w:rsidRPr="00394C2F">
        <w:rPr>
          <w:rFonts w:asciiTheme="majorHAnsi" w:hAnsiTheme="majorHAnsi"/>
          <w:sz w:val="16"/>
          <w:szCs w:val="24"/>
          <w:lang w:val="en-GB" w:eastAsia="fr-FR"/>
        </w:rPr>
        <w:t xml:space="preserve">Duncan, G.J., &amp; Brooks-Gunn, J. (1997). </w:t>
      </w:r>
      <w:r w:rsidRPr="00394C2F">
        <w:rPr>
          <w:rFonts w:asciiTheme="majorHAnsi" w:hAnsiTheme="majorHAnsi"/>
          <w:i/>
          <w:iCs/>
          <w:sz w:val="16"/>
          <w:szCs w:val="24"/>
          <w:lang w:val="en-GB" w:eastAsia="fr-FR"/>
        </w:rPr>
        <w:t>Consequences of growing up poor</w:t>
      </w:r>
      <w:r w:rsidRPr="00394C2F">
        <w:rPr>
          <w:rFonts w:asciiTheme="majorHAnsi" w:hAnsiTheme="majorHAnsi"/>
          <w:sz w:val="16"/>
          <w:szCs w:val="24"/>
          <w:lang w:val="en-GB" w:eastAsia="fr-FR"/>
        </w:rPr>
        <w:t xml:space="preserve">. New York: Russell Sage Foundation. </w:t>
      </w:r>
    </w:p>
    <w:p w14:paraId="2BA21CA1" w14:textId="77777777" w:rsidR="00F009D9" w:rsidRPr="00394C2F" w:rsidRDefault="00F009D9" w:rsidP="00F009D9">
      <w:pPr>
        <w:jc w:val="both"/>
        <w:rPr>
          <w:rFonts w:asciiTheme="majorHAnsi" w:hAnsiTheme="majorHAnsi"/>
          <w:sz w:val="16"/>
          <w:szCs w:val="24"/>
          <w:lang w:val="en-GB" w:eastAsia="fr-FR"/>
        </w:rPr>
      </w:pPr>
    </w:p>
    <w:p w14:paraId="053120F0" w14:textId="77777777" w:rsidR="00F009D9" w:rsidRPr="00394C2F" w:rsidRDefault="00F009D9" w:rsidP="00F009D9">
      <w:pPr>
        <w:jc w:val="both"/>
        <w:rPr>
          <w:rFonts w:asciiTheme="majorHAnsi" w:hAnsiTheme="majorHAnsi"/>
          <w:sz w:val="16"/>
          <w:szCs w:val="24"/>
          <w:lang w:val="en-GB" w:eastAsia="fr-FR"/>
        </w:rPr>
      </w:pPr>
      <w:r w:rsidRPr="00394C2F">
        <w:rPr>
          <w:rFonts w:asciiTheme="majorHAnsi" w:hAnsiTheme="majorHAnsi"/>
          <w:sz w:val="16"/>
          <w:szCs w:val="24"/>
          <w:lang w:val="en-GB" w:eastAsia="fr-FR"/>
        </w:rPr>
        <w:t>Joseph Rowntree Foundation (2009</w:t>
      </w:r>
      <w:proofErr w:type="gramStart"/>
      <w:r w:rsidRPr="00394C2F">
        <w:rPr>
          <w:rFonts w:asciiTheme="majorHAnsi" w:hAnsiTheme="majorHAnsi"/>
          <w:sz w:val="16"/>
          <w:szCs w:val="24"/>
          <w:lang w:val="en-GB" w:eastAsia="fr-FR"/>
        </w:rPr>
        <w:t>) :</w:t>
      </w:r>
      <w:proofErr w:type="gramEnd"/>
      <w:r w:rsidRPr="00394C2F">
        <w:rPr>
          <w:rFonts w:asciiTheme="majorHAnsi" w:hAnsiTheme="majorHAnsi"/>
          <w:sz w:val="16"/>
          <w:szCs w:val="24"/>
          <w:lang w:val="en-GB" w:eastAsia="fr-FR"/>
        </w:rPr>
        <w:t xml:space="preserve"> What is meant by Poverty, </w:t>
      </w:r>
      <w:hyperlink r:id="rId21" w:history="1">
        <w:r w:rsidRPr="00394C2F">
          <w:rPr>
            <w:rStyle w:val="Hyperlink"/>
            <w:rFonts w:asciiTheme="majorHAnsi" w:hAnsiTheme="majorHAnsi"/>
            <w:sz w:val="16"/>
            <w:szCs w:val="24"/>
            <w:lang w:val="en-GB" w:eastAsia="fr-FR"/>
          </w:rPr>
          <w:t>https://www.jrf.org.uk/sites/default/files/jrf/migrated/files/poverty-definitions.pdf</w:t>
        </w:r>
      </w:hyperlink>
      <w:r w:rsidRPr="00394C2F">
        <w:rPr>
          <w:rFonts w:asciiTheme="majorHAnsi" w:hAnsiTheme="majorHAnsi"/>
          <w:sz w:val="16"/>
          <w:szCs w:val="24"/>
          <w:lang w:val="en-GB" w:eastAsia="fr-FR"/>
        </w:rPr>
        <w:t xml:space="preserve">   </w:t>
      </w:r>
    </w:p>
    <w:p w14:paraId="48C94DE3" w14:textId="77777777" w:rsidR="00F009D9" w:rsidRDefault="00F009D9" w:rsidP="00F009D9">
      <w:pPr>
        <w:jc w:val="both"/>
        <w:rPr>
          <w:rFonts w:asciiTheme="majorHAnsi" w:hAnsiTheme="majorHAnsi"/>
          <w:sz w:val="16"/>
          <w:szCs w:val="24"/>
          <w:lang w:val="en-GB" w:eastAsia="fr-FR"/>
        </w:rPr>
      </w:pPr>
      <w:proofErr w:type="spellStart"/>
      <w:r w:rsidRPr="00394C2F">
        <w:rPr>
          <w:rFonts w:asciiTheme="majorHAnsi" w:hAnsiTheme="majorHAnsi"/>
          <w:sz w:val="16"/>
          <w:szCs w:val="24"/>
          <w:lang w:val="en-GB" w:eastAsia="fr-FR"/>
        </w:rPr>
        <w:t>Neuman</w:t>
      </w:r>
      <w:proofErr w:type="spellEnd"/>
      <w:r w:rsidRPr="00394C2F">
        <w:rPr>
          <w:rFonts w:asciiTheme="majorHAnsi" w:hAnsiTheme="majorHAnsi"/>
          <w:sz w:val="16"/>
          <w:szCs w:val="24"/>
          <w:lang w:val="en-GB" w:eastAsia="fr-FR"/>
        </w:rPr>
        <w:t xml:space="preserve">, S. B. (2008). </w:t>
      </w:r>
      <w:r w:rsidRPr="00394C2F">
        <w:rPr>
          <w:rFonts w:asciiTheme="majorHAnsi" w:hAnsiTheme="majorHAnsi"/>
          <w:i/>
          <w:iCs/>
          <w:sz w:val="16"/>
          <w:szCs w:val="24"/>
          <w:lang w:val="en-GB" w:eastAsia="fr-FR"/>
        </w:rPr>
        <w:t>Educating the other America: Top experts tackle poverty, literacy, and achievement in our schools.</w:t>
      </w:r>
      <w:r w:rsidRPr="00394C2F">
        <w:rPr>
          <w:rFonts w:asciiTheme="majorHAnsi" w:hAnsiTheme="majorHAnsi"/>
          <w:sz w:val="16"/>
          <w:szCs w:val="24"/>
          <w:lang w:val="en-GB" w:eastAsia="fr-FR"/>
        </w:rPr>
        <w:t xml:space="preserve"> Baltimore, MD: Paul H. Brookes.</w:t>
      </w:r>
    </w:p>
    <w:p w14:paraId="6DBDC7DE" w14:textId="77777777" w:rsidR="00F009D9" w:rsidRPr="00394C2F" w:rsidRDefault="00F009D9" w:rsidP="00F009D9">
      <w:pPr>
        <w:jc w:val="both"/>
        <w:rPr>
          <w:rFonts w:asciiTheme="majorHAnsi" w:hAnsiTheme="majorHAnsi"/>
          <w:sz w:val="16"/>
          <w:szCs w:val="24"/>
          <w:lang w:val="en-GB" w:eastAsia="fr-FR"/>
        </w:rPr>
      </w:pPr>
    </w:p>
    <w:p w14:paraId="24A977A7" w14:textId="77777777" w:rsidR="00F009D9" w:rsidRPr="00394C2F" w:rsidRDefault="00F009D9" w:rsidP="00F009D9">
      <w:pPr>
        <w:pStyle w:val="Default"/>
        <w:jc w:val="both"/>
        <w:rPr>
          <w:rFonts w:asciiTheme="majorHAnsi" w:hAnsiTheme="majorHAnsi" w:cs="Times New Roman"/>
          <w:sz w:val="16"/>
          <w:lang w:val="en-GB" w:eastAsia="en-US"/>
        </w:rPr>
      </w:pPr>
      <w:proofErr w:type="spellStart"/>
      <w:r w:rsidRPr="00394C2F">
        <w:rPr>
          <w:rFonts w:asciiTheme="majorHAnsi" w:hAnsiTheme="majorHAnsi" w:cs="Arial"/>
          <w:sz w:val="16"/>
          <w:lang w:val="en-GB" w:eastAsia="fr-FR"/>
        </w:rPr>
        <w:t>Olah</w:t>
      </w:r>
      <w:proofErr w:type="spellEnd"/>
      <w:r w:rsidRPr="00394C2F">
        <w:rPr>
          <w:rFonts w:asciiTheme="majorHAnsi" w:hAnsiTheme="majorHAnsi" w:cs="Arial"/>
          <w:sz w:val="16"/>
          <w:lang w:val="en-GB" w:eastAsia="fr-FR"/>
        </w:rPr>
        <w:t>, Livia</w:t>
      </w:r>
      <w:proofErr w:type="gramStart"/>
      <w:r w:rsidRPr="00394C2F">
        <w:rPr>
          <w:rFonts w:asciiTheme="majorHAnsi" w:hAnsiTheme="majorHAnsi" w:cs="Arial"/>
          <w:i/>
          <w:sz w:val="16"/>
          <w:lang w:val="en-GB" w:eastAsia="fr-FR"/>
        </w:rPr>
        <w:t xml:space="preserve">, </w:t>
      </w:r>
      <w:r w:rsidRPr="00394C2F">
        <w:rPr>
          <w:rFonts w:asciiTheme="majorHAnsi" w:hAnsiTheme="majorHAnsi" w:cs="Arial"/>
          <w:i/>
          <w:sz w:val="16"/>
          <w:lang w:val="en-GB"/>
        </w:rPr>
        <w:t xml:space="preserve"> </w:t>
      </w:r>
      <w:r w:rsidRPr="00394C2F">
        <w:rPr>
          <w:rFonts w:asciiTheme="majorHAnsi" w:hAnsiTheme="majorHAnsi" w:cs="Arial"/>
          <w:bCs/>
          <w:i/>
          <w:sz w:val="16"/>
          <w:lang w:val="en-GB"/>
        </w:rPr>
        <w:t>Changing</w:t>
      </w:r>
      <w:proofErr w:type="gramEnd"/>
      <w:r w:rsidRPr="00394C2F">
        <w:rPr>
          <w:rFonts w:asciiTheme="majorHAnsi" w:hAnsiTheme="majorHAnsi" w:cs="Arial"/>
          <w:bCs/>
          <w:i/>
          <w:sz w:val="16"/>
          <w:lang w:val="en-GB"/>
        </w:rPr>
        <w:t xml:space="preserve"> families in the European Union: trends and policy implications, </w:t>
      </w:r>
      <w:r w:rsidRPr="00394C2F">
        <w:rPr>
          <w:rFonts w:asciiTheme="majorHAnsi" w:hAnsiTheme="majorHAnsi" w:cs="Arial"/>
          <w:bCs/>
          <w:sz w:val="16"/>
          <w:lang w:val="en-GB"/>
        </w:rPr>
        <w:t>a</w:t>
      </w:r>
      <w:r w:rsidRPr="00394C2F">
        <w:rPr>
          <w:rFonts w:asciiTheme="majorHAnsi" w:hAnsiTheme="majorHAnsi" w:cs="Arial"/>
          <w:sz w:val="16"/>
          <w:lang w:val="en-GB" w:eastAsia="fr-FR"/>
        </w:rPr>
        <w:t xml:space="preserve">nalytical paper, prepared for the United Nations Expert Group Meeting, “Family policy development: achievements and challenges”, New York, May 14-15, 2015 </w:t>
      </w:r>
    </w:p>
    <w:p w14:paraId="145FF9A4" w14:textId="77777777" w:rsidR="00F009D9" w:rsidRPr="00394C2F" w:rsidRDefault="00F009D9" w:rsidP="00F009D9">
      <w:pPr>
        <w:pStyle w:val="Default"/>
        <w:jc w:val="both"/>
        <w:rPr>
          <w:rFonts w:asciiTheme="majorHAnsi" w:hAnsiTheme="majorHAnsi" w:cs="Arial"/>
          <w:i/>
          <w:sz w:val="16"/>
          <w:lang w:val="en-GB"/>
        </w:rPr>
      </w:pPr>
    </w:p>
    <w:p w14:paraId="40F8D65B" w14:textId="77777777" w:rsidR="00F009D9" w:rsidRDefault="00F009D9" w:rsidP="00F009D9">
      <w:pPr>
        <w:pStyle w:val="yiv9103784343msonormal"/>
        <w:spacing w:before="0" w:after="0"/>
        <w:jc w:val="both"/>
        <w:rPr>
          <w:rStyle w:val="Hyperlink"/>
          <w:rFonts w:asciiTheme="majorHAnsi" w:hAnsiTheme="majorHAnsi" w:cs="Arial"/>
          <w:sz w:val="16"/>
          <w:lang w:val="en-GB"/>
        </w:rPr>
      </w:pPr>
      <w:r w:rsidRPr="00394C2F">
        <w:rPr>
          <w:rStyle w:val="Emphasis"/>
          <w:rFonts w:asciiTheme="majorHAnsi" w:hAnsiTheme="majorHAnsi" w:cs="Arial"/>
          <w:color w:val="auto"/>
          <w:sz w:val="16"/>
          <w:lang w:val="en-GB"/>
        </w:rPr>
        <w:t xml:space="preserve">William H. Parrett and Kathleen M. Budge, </w:t>
      </w:r>
      <w:hyperlink r:id="rId22" w:tgtFrame="_blank" w:history="1">
        <w:r w:rsidRPr="00394C2F">
          <w:rPr>
            <w:rFonts w:asciiTheme="majorHAnsi" w:hAnsiTheme="majorHAnsi" w:cs="Arial"/>
            <w:bCs/>
            <w:i/>
            <w:sz w:val="16"/>
            <w:lang w:eastAsia="el-GR"/>
          </w:rPr>
          <w:t>Turning High-Poverty Schools into High-Performing Schools</w:t>
        </w:r>
      </w:hyperlink>
      <w:r w:rsidRPr="00394C2F">
        <w:rPr>
          <w:rFonts w:asciiTheme="majorHAnsi" w:hAnsiTheme="majorHAnsi" w:cs="Arial"/>
          <w:sz w:val="16"/>
          <w:lang w:val="en-GB"/>
        </w:rPr>
        <w:t xml:space="preserve">, </w:t>
      </w:r>
      <w:hyperlink r:id="rId23" w:history="1">
        <w:r w:rsidRPr="00394C2F">
          <w:rPr>
            <w:rStyle w:val="Hyperlink"/>
            <w:rFonts w:asciiTheme="majorHAnsi" w:hAnsiTheme="majorHAnsi" w:cs="Arial"/>
            <w:sz w:val="16"/>
            <w:lang w:val="en-GB"/>
          </w:rPr>
          <w:t>http://www.edutopia.org/blog/how-does-poverty-influence-learning-william-parrett-kathleen-budge</w:t>
        </w:r>
      </w:hyperlink>
    </w:p>
    <w:p w14:paraId="5F1D2C56" w14:textId="77777777" w:rsidR="00891D6E" w:rsidRDefault="00891D6E" w:rsidP="00F009D9">
      <w:pPr>
        <w:pStyle w:val="Heading1"/>
      </w:pPr>
    </w:p>
    <w:sectPr w:rsidR="00891D6E" w:rsidSect="00C370A6">
      <w:headerReference w:type="default" r:id="rId24"/>
      <w:footerReference w:type="default" r:id="rId25"/>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D1D5D" w14:textId="77777777" w:rsidR="00780258" w:rsidRDefault="00780258" w:rsidP="00A66B13">
      <w:r>
        <w:separator/>
      </w:r>
    </w:p>
  </w:endnote>
  <w:endnote w:type="continuationSeparator" w:id="0">
    <w:p w14:paraId="6250AC8E" w14:textId="77777777" w:rsidR="00780258" w:rsidRDefault="00780258"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772869BB" w:rsidR="001A7EA7" w:rsidRDefault="00F009D9" w:rsidP="00A66B13">
    <w:pPr>
      <w:pStyle w:val="Footer"/>
    </w:pPr>
    <w:r>
      <w:rPr>
        <w:noProof/>
        <w:lang w:val="el-GR" w:eastAsia="el-GR"/>
      </w:rPr>
      <w:drawing>
        <wp:anchor distT="0" distB="0" distL="114300" distR="114300" simplePos="0" relativeHeight="251667968" behindDoc="0" locked="0" layoutInCell="1" allowOverlap="1" wp14:anchorId="72A0799E" wp14:editId="06E0BFBD">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BB4E0" w14:textId="77777777" w:rsidR="00780258" w:rsidRDefault="00780258" w:rsidP="00A66B13">
      <w:r>
        <w:separator/>
      </w:r>
    </w:p>
  </w:footnote>
  <w:footnote w:type="continuationSeparator" w:id="0">
    <w:p w14:paraId="64C1F3EA" w14:textId="77777777" w:rsidR="00780258" w:rsidRDefault="00780258"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7D8FB610" w:rsidR="001A7EA7" w:rsidRDefault="00F009D9"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3A12C802">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6DDE"/>
    <w:multiLevelType w:val="hybridMultilevel"/>
    <w:tmpl w:val="F8FEB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166186"/>
    <w:multiLevelType w:val="hybridMultilevel"/>
    <w:tmpl w:val="F00A6FD0"/>
    <w:lvl w:ilvl="0" w:tplc="F25EA814">
      <w:start w:val="1"/>
      <w:numFmt w:val="decimal"/>
      <w:lvlText w:val="%1."/>
      <w:lvlJc w:val="left"/>
      <w:pPr>
        <w:ind w:left="720" w:hanging="360"/>
      </w:pPr>
      <w:rPr>
        <w:rFonts w:hint="default"/>
        <w:sz w:val="22"/>
        <w:szCs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537C03A0"/>
    <w:multiLevelType w:val="hybridMultilevel"/>
    <w:tmpl w:val="6EF05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B7724F"/>
    <w:multiLevelType w:val="hybridMultilevel"/>
    <w:tmpl w:val="C23C1470"/>
    <w:lvl w:ilvl="0" w:tplc="74763D4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153697"/>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8"/>
  </w:num>
  <w:num w:numId="5">
    <w:abstractNumId w:val="9"/>
  </w:num>
  <w:num w:numId="6">
    <w:abstractNumId w:val="4"/>
  </w:num>
  <w:num w:numId="7">
    <w:abstractNumId w:val="3"/>
  </w:num>
  <w:num w:numId="8">
    <w:abstractNumId w:val="6"/>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80258"/>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009D9"/>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09D9"/>
    <w:rPr>
      <w:color w:val="74CEE0" w:themeColor="hyperlink"/>
      <w:u w:val="single"/>
    </w:rPr>
  </w:style>
  <w:style w:type="paragraph" w:styleId="Subtitle">
    <w:name w:val="Subtitle"/>
    <w:aliases w:val="Tips"/>
    <w:basedOn w:val="Normal"/>
    <w:next w:val="Normal"/>
    <w:link w:val="SubtitleChar"/>
    <w:uiPriority w:val="11"/>
    <w:qFormat/>
    <w:rsid w:val="00F009D9"/>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F009D9"/>
    <w:rPr>
      <w:rFonts w:cstheme="minorBidi"/>
      <w:b/>
      <w:color w:val="2E3B42" w:themeColor="accent2"/>
      <w:sz w:val="28"/>
    </w:rPr>
  </w:style>
  <w:style w:type="paragraph" w:customStyle="1" w:styleId="Default">
    <w:name w:val="Default"/>
    <w:rsid w:val="00F009D9"/>
    <w:pPr>
      <w:autoSpaceDE w:val="0"/>
      <w:autoSpaceDN w:val="0"/>
      <w:adjustRightInd w:val="0"/>
    </w:pPr>
    <w:rPr>
      <w:rFonts w:eastAsia="Calibri" w:cs="Calibri"/>
      <w:color w:val="000000"/>
      <w:sz w:val="24"/>
      <w:szCs w:val="24"/>
      <w:lang w:val="el-GR" w:eastAsia="el-GR"/>
    </w:rPr>
  </w:style>
  <w:style w:type="paragraph" w:customStyle="1" w:styleId="yiv9103784343msonormal">
    <w:name w:val="yiv9103784343msonormal"/>
    <w:basedOn w:val="Normal"/>
    <w:rsid w:val="00F009D9"/>
    <w:pPr>
      <w:suppressAutoHyphens/>
      <w:autoSpaceDN w:val="0"/>
      <w:spacing w:before="100" w:after="100"/>
      <w:textAlignment w:val="baseline"/>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lfac.org/fileadmin/user_upload/PDF/STATUTES_ELFAC.pdf" TargetMode="External"/><Relationship Id="rId18" Type="http://schemas.openxmlformats.org/officeDocument/2006/relationships/hyperlink" Target="http://www.edchange.org/publications/PDK-Pedagogy-of-Engagement.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jrf.org.uk/sites/default/files/jrf/migrated/files/poverty-definitions.pdf"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icepe.e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who.int" TargetMode="External"/><Relationship Id="rId20" Type="http://schemas.openxmlformats.org/officeDocument/2006/relationships/hyperlink" Target="http://www.un.org/esa/socdev/family/docs/egm15/Olahpape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leavenetwork.org/fileadmin/Leavenetwork/Links_publications/Family_Policy_in_Council_of_Europe_member_states_en.pdf" TargetMode="External"/><Relationship Id="rId23" Type="http://schemas.openxmlformats.org/officeDocument/2006/relationships/hyperlink" Target="http://www.edutopia.org/blog/how-does-poverty-influence-learning-william-parrett-kathleen-budge" TargetMode="External"/><Relationship Id="rId10" Type="http://schemas.openxmlformats.org/officeDocument/2006/relationships/image" Target="media/image2.png"/><Relationship Id="rId19" Type="http://schemas.openxmlformats.org/officeDocument/2006/relationships/hyperlink" Target="http://www.edutopia.org/blog/how-does-poverty-influence-learning-william-parrett-kathleen-budg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n.org/esa/socdev/family/docs/egm15/Olahpaper.pdf" TargetMode="External"/><Relationship Id="rId22" Type="http://schemas.openxmlformats.org/officeDocument/2006/relationships/hyperlink" Target="http://www.ascd.org/Publications/Books/Overview/Turning-High-Poverty-Schools-into-High-Performing-Schools.aspx"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24222-5813-4CD4-8F98-B24E6AE3A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4</TotalTime>
  <Pages>6</Pages>
  <Words>2062</Words>
  <Characters>11140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2017-06-27T09:58:00Z</dcterms:modified>
</cp:coreProperties>
</file>