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22AF1361" w:rsidR="006E78E0" w:rsidRPr="004F7767" w:rsidRDefault="00C164D7" w:rsidP="00297489">
                            <w:pPr>
                              <w:pStyle w:val="Heading1"/>
                              <w:rPr>
                                <w:rStyle w:val="SubtleReference"/>
                                <w:color w:val="2E3B42" w:themeColor="accent2"/>
                              </w:rPr>
                            </w:pPr>
                            <w:r>
                              <w:rPr>
                                <w:rStyle w:val="SubtleReference"/>
                                <w:color w:val="2E3B42" w:themeColor="accent2"/>
                              </w:rPr>
                              <w:t xml:space="preserve">Adaptive </w:t>
                            </w:r>
                            <w:proofErr w:type="spellStart"/>
                            <w:r>
                              <w:rPr>
                                <w:rStyle w:val="SubtleReference"/>
                                <w:color w:val="2E3B42" w:themeColor="accent2"/>
                              </w:rPr>
                              <w:t>Behaviour</w:t>
                            </w:r>
                            <w:proofErr w:type="spellEnd"/>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22AF1361" w:rsidR="006E78E0" w:rsidRPr="004F7767" w:rsidRDefault="00C164D7" w:rsidP="00297489">
                      <w:pPr>
                        <w:pStyle w:val="Heading1"/>
                        <w:rPr>
                          <w:rStyle w:val="SubtleReference"/>
                          <w:color w:val="2E3B42" w:themeColor="accent2"/>
                        </w:rPr>
                      </w:pPr>
                      <w:r>
                        <w:rPr>
                          <w:rStyle w:val="SubtleReference"/>
                          <w:color w:val="2E3B42" w:themeColor="accent2"/>
                        </w:rPr>
                        <w:t xml:space="preserve">Adaptive </w:t>
                      </w:r>
                      <w:proofErr w:type="spellStart"/>
                      <w:r>
                        <w:rPr>
                          <w:rStyle w:val="SubtleReference"/>
                          <w:color w:val="2E3B42" w:themeColor="accent2"/>
                        </w:rPr>
                        <w:t>Behaviour</w:t>
                      </w:r>
                      <w:proofErr w:type="spellEnd"/>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480DC4C1" w:rsidR="00A3694A" w:rsidRPr="004F7767" w:rsidRDefault="00C164D7" w:rsidP="00297489">
                            <w:pPr>
                              <w:pStyle w:val="Heading1"/>
                              <w:rPr>
                                <w:rStyle w:val="Emphasis"/>
                                <w:color w:val="2E3B42" w:themeColor="accent2"/>
                              </w:rPr>
                            </w:pPr>
                            <w:r>
                              <w:rPr>
                                <w:rStyle w:val="Emphasis"/>
                                <w:color w:val="2E3B42" w:themeColor="accent2"/>
                              </w:rPr>
                              <w:t>Pupils with Intellectual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480DC4C1" w:rsidR="00A3694A" w:rsidRPr="004F7767" w:rsidRDefault="00C164D7" w:rsidP="00297489">
                      <w:pPr>
                        <w:pStyle w:val="Heading1"/>
                        <w:rPr>
                          <w:rStyle w:val="Emphasis"/>
                          <w:color w:val="2E3B42" w:themeColor="accent2"/>
                        </w:rPr>
                      </w:pPr>
                      <w:r>
                        <w:rPr>
                          <w:rStyle w:val="Emphasis"/>
                          <w:color w:val="2E3B42" w:themeColor="accent2"/>
                        </w:rPr>
                        <w:t>Pupils with Intellectual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4F7D660F" w14:textId="77777777" w:rsidR="00C164D7" w:rsidRDefault="00C164D7" w:rsidP="00C164D7">
      <w:pPr>
        <w:pStyle w:val="Heading2"/>
        <w:jc w:val="both"/>
      </w:pPr>
      <w:bookmarkStart w:id="0" w:name="_Toc486339025"/>
      <w:r>
        <w:lastRenderedPageBreak/>
        <w:t xml:space="preserve">Adaptive </w:t>
      </w:r>
      <w:proofErr w:type="spellStart"/>
      <w:r>
        <w:t>Behaviour</w:t>
      </w:r>
      <w:bookmarkEnd w:id="0"/>
      <w:proofErr w:type="spellEnd"/>
      <w:r>
        <w:t xml:space="preserve">  </w:t>
      </w:r>
    </w:p>
    <w:p w14:paraId="18C12EB5" w14:textId="77777777" w:rsidR="00C164D7" w:rsidRDefault="00C164D7" w:rsidP="00C164D7">
      <w:pPr>
        <w:jc w:val="both"/>
      </w:pPr>
    </w:p>
    <w:p w14:paraId="4629A6C0" w14:textId="77777777" w:rsidR="00C164D7" w:rsidRDefault="00C164D7" w:rsidP="00C164D7">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164D7" w14:paraId="6C12B206" w14:textId="77777777" w:rsidTr="00D3536E">
        <w:trPr>
          <w:trHeight w:val="845"/>
        </w:trPr>
        <w:tc>
          <w:tcPr>
            <w:tcW w:w="1135" w:type="dxa"/>
            <w:tcBorders>
              <w:top w:val="nil"/>
              <w:bottom w:val="nil"/>
              <w:right w:val="nil"/>
            </w:tcBorders>
            <w:vAlign w:val="center"/>
          </w:tcPr>
          <w:p w14:paraId="46EEFB27" w14:textId="77777777" w:rsidR="00C164D7" w:rsidRDefault="00C164D7" w:rsidP="00D3536E">
            <w:pPr>
              <w:pStyle w:val="Heading3"/>
              <w:jc w:val="both"/>
            </w:pPr>
            <w:r>
              <w:rPr>
                <w:noProof/>
                <w:lang w:val="el-GR" w:eastAsia="el-GR"/>
              </w:rPr>
              <w:drawing>
                <wp:anchor distT="0" distB="0" distL="114300" distR="114300" simplePos="0" relativeHeight="251663360" behindDoc="0" locked="0" layoutInCell="1" allowOverlap="1" wp14:anchorId="3F97002E" wp14:editId="1EEEBCC1">
                  <wp:simplePos x="0" y="0"/>
                  <wp:positionH relativeFrom="column">
                    <wp:posOffset>131445</wp:posOffset>
                  </wp:positionH>
                  <wp:positionV relativeFrom="paragraph">
                    <wp:posOffset>-2725420</wp:posOffset>
                  </wp:positionV>
                  <wp:extent cx="516890" cy="516890"/>
                  <wp:effectExtent l="25400" t="0" r="0" b="0"/>
                  <wp:wrapNone/>
                  <wp:docPr id="20"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14:sizeRelH relativeFrom="margin">
                    <wp14:pctWidth>0</wp14:pctWidth>
                  </wp14:sizeRelH>
                  <wp14:sizeRelV relativeFrom="margin">
                    <wp14:pctHeight>0</wp14:pctHeight>
                  </wp14:sizeRelV>
                </wp:anchor>
              </w:drawing>
            </w:r>
          </w:p>
          <w:p w14:paraId="5925D41E" w14:textId="77777777" w:rsidR="00C164D7" w:rsidRPr="00291A7F" w:rsidRDefault="00C164D7" w:rsidP="00D3536E">
            <w:pPr>
              <w:jc w:val="both"/>
            </w:pPr>
          </w:p>
        </w:tc>
        <w:tc>
          <w:tcPr>
            <w:tcW w:w="8159" w:type="dxa"/>
            <w:tcBorders>
              <w:left w:val="nil"/>
            </w:tcBorders>
            <w:vAlign w:val="center"/>
          </w:tcPr>
          <w:p w14:paraId="1B4771A5" w14:textId="77777777" w:rsidR="00C164D7" w:rsidRDefault="00C164D7" w:rsidP="00D3536E">
            <w:pPr>
              <w:jc w:val="both"/>
            </w:pPr>
            <w:r>
              <w:t xml:space="preserve"> </w:t>
            </w:r>
            <w:r w:rsidRPr="00114D05">
              <w:rPr>
                <w:b/>
                <w:color w:val="2E3B42" w:themeColor="accent2"/>
                <w:sz w:val="28"/>
                <w:szCs w:val="28"/>
              </w:rPr>
              <w:t>Classroom-based tips (focus on instructional methods)</w:t>
            </w:r>
          </w:p>
          <w:p w14:paraId="1EDF8C41" w14:textId="77777777" w:rsidR="00C164D7" w:rsidRDefault="00C164D7" w:rsidP="00D3536E">
            <w:pPr>
              <w:pStyle w:val="Subtitle"/>
              <w:jc w:val="both"/>
            </w:pPr>
            <w:r>
              <w:t xml:space="preserve"> </w:t>
            </w:r>
          </w:p>
          <w:p w14:paraId="01144DC4" w14:textId="77777777" w:rsidR="00C164D7" w:rsidRPr="003441F7" w:rsidRDefault="00C164D7" w:rsidP="00D3536E">
            <w:pPr>
              <w:autoSpaceDE w:val="0"/>
              <w:autoSpaceDN w:val="0"/>
              <w:adjustRightInd w:val="0"/>
              <w:jc w:val="both"/>
              <w:rPr>
                <w:szCs w:val="24"/>
                <w:lang w:val="en-GB"/>
              </w:rPr>
            </w:pPr>
            <w:r w:rsidRPr="003441F7">
              <w:rPr>
                <w:szCs w:val="24"/>
                <w:lang w:val="en-GB"/>
              </w:rPr>
              <w:t xml:space="preserve">1. </w:t>
            </w:r>
            <w:r w:rsidRPr="003441F7">
              <w:rPr>
                <w:b/>
                <w:szCs w:val="24"/>
                <w:lang w:val="en-GB"/>
              </w:rPr>
              <w:t>Give your pupils direct instructions and support their environment</w:t>
            </w:r>
            <w:r w:rsidRPr="003441F7">
              <w:rPr>
                <w:szCs w:val="24"/>
                <w:lang w:val="en-GB"/>
              </w:rPr>
              <w:t xml:space="preserve"> with prompts and simplified routines (</w:t>
            </w:r>
            <w:proofErr w:type="spellStart"/>
            <w:r w:rsidRPr="003441F7">
              <w:rPr>
                <w:szCs w:val="24"/>
                <w:lang w:val="en-GB"/>
              </w:rPr>
              <w:t>Grossi</w:t>
            </w:r>
            <w:proofErr w:type="spellEnd"/>
            <w:r w:rsidRPr="003441F7">
              <w:rPr>
                <w:szCs w:val="24"/>
                <w:lang w:val="en-GB"/>
              </w:rPr>
              <w:t xml:space="preserve"> &amp; </w:t>
            </w:r>
            <w:proofErr w:type="spellStart"/>
            <w:r w:rsidRPr="003441F7">
              <w:rPr>
                <w:szCs w:val="24"/>
                <w:lang w:val="en-GB"/>
              </w:rPr>
              <w:t>Heward</w:t>
            </w:r>
            <w:proofErr w:type="spellEnd"/>
            <w:r w:rsidRPr="003441F7">
              <w:rPr>
                <w:szCs w:val="24"/>
                <w:lang w:val="en-GB"/>
              </w:rPr>
              <w:t>, 1998). For instance, make sure that you provide visual prompts that remind them that it is time to wash their hands.</w:t>
            </w:r>
          </w:p>
          <w:p w14:paraId="02F81BDE" w14:textId="77777777" w:rsidR="00C164D7" w:rsidRPr="003441F7" w:rsidRDefault="00C164D7" w:rsidP="00D3536E">
            <w:pPr>
              <w:autoSpaceDE w:val="0"/>
              <w:autoSpaceDN w:val="0"/>
              <w:adjustRightInd w:val="0"/>
              <w:jc w:val="both"/>
              <w:rPr>
                <w:szCs w:val="24"/>
                <w:lang w:val="en-GB"/>
              </w:rPr>
            </w:pPr>
          </w:p>
          <w:p w14:paraId="0351C7F4" w14:textId="77777777" w:rsidR="00C164D7" w:rsidRPr="003441F7" w:rsidRDefault="00C164D7" w:rsidP="00D3536E">
            <w:pPr>
              <w:autoSpaceDE w:val="0"/>
              <w:autoSpaceDN w:val="0"/>
              <w:adjustRightInd w:val="0"/>
              <w:jc w:val="both"/>
              <w:rPr>
                <w:szCs w:val="24"/>
                <w:lang w:val="en-GB"/>
              </w:rPr>
            </w:pPr>
            <w:r w:rsidRPr="003441F7">
              <w:rPr>
                <w:szCs w:val="24"/>
                <w:lang w:val="en-GB"/>
              </w:rPr>
              <w:t xml:space="preserve">2. </w:t>
            </w:r>
            <w:r w:rsidRPr="003441F7">
              <w:rPr>
                <w:b/>
                <w:szCs w:val="24"/>
                <w:lang w:val="en-GB"/>
              </w:rPr>
              <w:t>Create a behaviour support plan.</w:t>
            </w:r>
            <w:r>
              <w:rPr>
                <w:szCs w:val="24"/>
                <w:lang w:val="en-GB"/>
              </w:rPr>
              <w:t xml:space="preserve"> </w:t>
            </w:r>
            <w:r w:rsidRPr="003441F7">
              <w:rPr>
                <w:szCs w:val="24"/>
                <w:lang w:val="en-GB"/>
              </w:rPr>
              <w:t xml:space="preserve">An example can be found here: </w:t>
            </w:r>
            <w:hyperlink r:id="rId12" w:history="1">
              <w:r w:rsidRPr="003441F7">
                <w:rPr>
                  <w:szCs w:val="24"/>
                </w:rPr>
                <w:t>http://www.pbsc.info/sab/PDFs/m3_u6_manual.pdf</w:t>
              </w:r>
            </w:hyperlink>
          </w:p>
          <w:p w14:paraId="7370925F" w14:textId="77777777" w:rsidR="00C164D7" w:rsidRPr="003441F7" w:rsidRDefault="00C164D7" w:rsidP="00D3536E">
            <w:pPr>
              <w:autoSpaceDE w:val="0"/>
              <w:autoSpaceDN w:val="0"/>
              <w:adjustRightInd w:val="0"/>
              <w:jc w:val="both"/>
              <w:rPr>
                <w:szCs w:val="24"/>
                <w:lang w:val="en-GB"/>
              </w:rPr>
            </w:pPr>
          </w:p>
          <w:p w14:paraId="40AC36F4" w14:textId="77777777" w:rsidR="00C164D7" w:rsidRPr="003441F7" w:rsidRDefault="00C164D7" w:rsidP="00D3536E">
            <w:pPr>
              <w:autoSpaceDE w:val="0"/>
              <w:autoSpaceDN w:val="0"/>
              <w:adjustRightInd w:val="0"/>
              <w:jc w:val="both"/>
              <w:rPr>
                <w:szCs w:val="24"/>
                <w:lang w:val="en-GB"/>
              </w:rPr>
            </w:pPr>
            <w:r w:rsidRPr="003441F7">
              <w:rPr>
                <w:szCs w:val="24"/>
                <w:lang w:val="en-GB"/>
              </w:rPr>
              <w:t>3.</w:t>
            </w:r>
            <w:r>
              <w:rPr>
                <w:szCs w:val="24"/>
                <w:lang w:val="en-GB"/>
              </w:rPr>
              <w:t xml:space="preserve"> </w:t>
            </w:r>
            <w:r w:rsidRPr="003441F7">
              <w:rPr>
                <w:b/>
                <w:szCs w:val="24"/>
                <w:lang w:val="en-GB"/>
              </w:rPr>
              <w:t>Use pictorial self-instruction</w:t>
            </w:r>
            <w:r w:rsidRPr="003441F7">
              <w:rPr>
                <w:szCs w:val="24"/>
                <w:lang w:val="en-GB"/>
              </w:rPr>
              <w:t xml:space="preserve"> (</w:t>
            </w:r>
            <w:proofErr w:type="spellStart"/>
            <w:r w:rsidRPr="003441F7">
              <w:rPr>
                <w:szCs w:val="24"/>
                <w:lang w:val="en-GB"/>
              </w:rPr>
              <w:t>Mithaug</w:t>
            </w:r>
            <w:proofErr w:type="spellEnd"/>
            <w:r w:rsidRPr="003441F7">
              <w:rPr>
                <w:szCs w:val="24"/>
                <w:lang w:val="en-GB"/>
              </w:rPr>
              <w:t xml:space="preserve"> &amp; </w:t>
            </w:r>
            <w:proofErr w:type="spellStart"/>
            <w:r w:rsidRPr="003441F7">
              <w:rPr>
                <w:szCs w:val="24"/>
                <w:lang w:val="en-GB"/>
              </w:rPr>
              <w:t>Mithaug</w:t>
            </w:r>
            <w:proofErr w:type="spellEnd"/>
            <w:r w:rsidRPr="003441F7">
              <w:rPr>
                <w:szCs w:val="24"/>
                <w:lang w:val="en-GB"/>
              </w:rPr>
              <w:t xml:space="preserve">, 2003). Pupils will learn to complete academic assignments using a picture-based graphic organiser planner. Pupils will plan, complete, and evaluate their work by circling pictures according to the following categories: (a) Subjects to Work, (b) What I Will Do, and (c) What I Did. You can use this strategy to teach self-management skills. </w:t>
            </w:r>
          </w:p>
          <w:p w14:paraId="29C4F380" w14:textId="77777777" w:rsidR="00C164D7" w:rsidRPr="003441F7" w:rsidRDefault="00C164D7" w:rsidP="00D3536E">
            <w:pPr>
              <w:autoSpaceDE w:val="0"/>
              <w:autoSpaceDN w:val="0"/>
              <w:adjustRightInd w:val="0"/>
              <w:jc w:val="both"/>
              <w:rPr>
                <w:szCs w:val="24"/>
                <w:lang w:val="en-GB"/>
              </w:rPr>
            </w:pPr>
          </w:p>
          <w:p w14:paraId="03BE4C92" w14:textId="77777777" w:rsidR="00C164D7" w:rsidRPr="003441F7" w:rsidRDefault="00C164D7" w:rsidP="00D3536E">
            <w:pPr>
              <w:autoSpaceDE w:val="0"/>
              <w:autoSpaceDN w:val="0"/>
              <w:adjustRightInd w:val="0"/>
              <w:jc w:val="both"/>
              <w:rPr>
                <w:szCs w:val="24"/>
                <w:lang w:val="en-GB"/>
              </w:rPr>
            </w:pPr>
            <w:r w:rsidRPr="003441F7">
              <w:rPr>
                <w:szCs w:val="24"/>
                <w:lang w:val="en-GB"/>
              </w:rPr>
              <w:t>4.</w:t>
            </w:r>
            <w:r>
              <w:rPr>
                <w:szCs w:val="24"/>
                <w:lang w:val="en-GB"/>
              </w:rPr>
              <w:t xml:space="preserve"> </w:t>
            </w:r>
            <w:r w:rsidRPr="003441F7">
              <w:rPr>
                <w:b/>
                <w:szCs w:val="24"/>
                <w:lang w:val="en-GB"/>
              </w:rPr>
              <w:t>Promote self-determination by using Self-Determined Learning Model of Instruction (SDLMI)</w:t>
            </w:r>
            <w:r w:rsidRPr="003441F7">
              <w:rPr>
                <w:szCs w:val="24"/>
                <w:lang w:val="en-GB"/>
              </w:rPr>
              <w:t xml:space="preserve"> (Champers, 2007)</w:t>
            </w:r>
            <w:r w:rsidRPr="003441F7">
              <w:rPr>
                <w:b/>
                <w:szCs w:val="24"/>
                <w:lang w:val="en-GB"/>
              </w:rPr>
              <w:t>.</w:t>
            </w:r>
            <w:r w:rsidRPr="003441F7">
              <w:rPr>
                <w:szCs w:val="24"/>
                <w:lang w:val="en-GB"/>
              </w:rPr>
              <w:t xml:space="preserve"> The SDLMI teaches self-directed learning to pupils in three units: (a) setting a goal, (b) taking action, and (c) adjusting the total or plan (</w:t>
            </w:r>
            <w:proofErr w:type="spellStart"/>
            <w:r w:rsidRPr="003441F7">
              <w:rPr>
                <w:szCs w:val="24"/>
                <w:lang w:val="en-GB"/>
              </w:rPr>
              <w:t>Wehmeyer</w:t>
            </w:r>
            <w:proofErr w:type="spellEnd"/>
            <w:r w:rsidRPr="003441F7">
              <w:rPr>
                <w:szCs w:val="24"/>
                <w:lang w:val="en-GB"/>
              </w:rPr>
              <w:t xml:space="preserve">, Palmer, </w:t>
            </w:r>
            <w:proofErr w:type="spellStart"/>
            <w:r w:rsidRPr="003441F7">
              <w:rPr>
                <w:szCs w:val="24"/>
                <w:lang w:val="en-GB"/>
              </w:rPr>
              <w:t>Agran</w:t>
            </w:r>
            <w:proofErr w:type="spellEnd"/>
            <w:r w:rsidRPr="003441F7">
              <w:rPr>
                <w:szCs w:val="24"/>
                <w:lang w:val="en-GB"/>
              </w:rPr>
              <w:t xml:space="preserve">, </w:t>
            </w:r>
            <w:proofErr w:type="spellStart"/>
            <w:r w:rsidRPr="003441F7">
              <w:rPr>
                <w:szCs w:val="24"/>
                <w:lang w:val="en-GB"/>
              </w:rPr>
              <w:t>Mithaug</w:t>
            </w:r>
            <w:proofErr w:type="spellEnd"/>
            <w:r w:rsidRPr="003441F7">
              <w:rPr>
                <w:szCs w:val="24"/>
                <w:lang w:val="en-GB"/>
              </w:rPr>
              <w:t xml:space="preserve">, &amp; Martin, 2000). Pupils are taught to solve problems using four steps: (a) identify the problem, (b) identify possible solutions, (c) identify possible barriers, and (d) identify consequences of each solution. </w:t>
            </w:r>
          </w:p>
          <w:p w14:paraId="368C3310" w14:textId="77777777" w:rsidR="00C164D7" w:rsidRPr="003441F7" w:rsidRDefault="00C164D7" w:rsidP="00D3536E">
            <w:pPr>
              <w:autoSpaceDE w:val="0"/>
              <w:autoSpaceDN w:val="0"/>
              <w:adjustRightInd w:val="0"/>
              <w:jc w:val="both"/>
              <w:rPr>
                <w:szCs w:val="24"/>
                <w:lang w:val="en-GB"/>
              </w:rPr>
            </w:pPr>
          </w:p>
          <w:p w14:paraId="3B8FC53A" w14:textId="77777777" w:rsidR="00C164D7" w:rsidRDefault="00C164D7" w:rsidP="00D3536E">
            <w:pPr>
              <w:autoSpaceDE w:val="0"/>
              <w:autoSpaceDN w:val="0"/>
              <w:adjustRightInd w:val="0"/>
              <w:jc w:val="both"/>
              <w:rPr>
                <w:szCs w:val="24"/>
                <w:lang w:val="en-GB"/>
              </w:rPr>
            </w:pPr>
            <w:r w:rsidRPr="003441F7">
              <w:rPr>
                <w:szCs w:val="24"/>
                <w:lang w:val="en-GB"/>
              </w:rPr>
              <w:t xml:space="preserve">5. </w:t>
            </w:r>
            <w:r w:rsidRPr="003441F7">
              <w:rPr>
                <w:b/>
                <w:szCs w:val="24"/>
                <w:lang w:val="en-GB"/>
              </w:rPr>
              <w:t xml:space="preserve">Promote self-determination by involving pupils in educational planning and decision making. </w:t>
            </w:r>
            <w:r w:rsidRPr="003441F7">
              <w:rPr>
                <w:szCs w:val="24"/>
                <w:lang w:val="en-GB"/>
              </w:rPr>
              <w:t xml:space="preserve">These activities range from teaching pupils to use presentation software, such as Microsoft’s PowerPoint, to present information about themselves during an Individual Education Plan (IEP) meeting, to the implementation of more systematic, curricular efforts that promote self-determination by teaching pupils skills to run their IEP meetings (see </w:t>
            </w:r>
            <w:proofErr w:type="spellStart"/>
            <w:r w:rsidRPr="003441F7">
              <w:rPr>
                <w:szCs w:val="24"/>
                <w:lang w:val="en-GB"/>
              </w:rPr>
              <w:t>Wehmeyer</w:t>
            </w:r>
            <w:proofErr w:type="spellEnd"/>
            <w:r w:rsidRPr="003441F7">
              <w:rPr>
                <w:szCs w:val="24"/>
                <w:lang w:val="en-GB"/>
              </w:rPr>
              <w:t xml:space="preserve"> et al., 2007, for a discussion of such programmatic efforts).</w:t>
            </w:r>
          </w:p>
          <w:p w14:paraId="158E28CD" w14:textId="77777777" w:rsidR="00C164D7" w:rsidRDefault="00C164D7" w:rsidP="00D3536E">
            <w:pPr>
              <w:autoSpaceDE w:val="0"/>
              <w:autoSpaceDN w:val="0"/>
              <w:adjustRightInd w:val="0"/>
              <w:jc w:val="both"/>
              <w:rPr>
                <w:szCs w:val="24"/>
                <w:lang w:val="en-GB"/>
              </w:rPr>
            </w:pPr>
          </w:p>
          <w:p w14:paraId="09BFF513" w14:textId="77777777" w:rsidR="00C164D7" w:rsidRDefault="00C164D7" w:rsidP="00D3536E">
            <w:pPr>
              <w:autoSpaceDE w:val="0"/>
              <w:autoSpaceDN w:val="0"/>
              <w:adjustRightInd w:val="0"/>
              <w:jc w:val="both"/>
              <w:rPr>
                <w:szCs w:val="24"/>
                <w:lang w:val="en-GB"/>
              </w:rPr>
            </w:pPr>
            <w:r w:rsidRPr="003441F7">
              <w:rPr>
                <w:szCs w:val="24"/>
                <w:lang w:val="en-GB"/>
              </w:rPr>
              <w:t xml:space="preserve">6. </w:t>
            </w:r>
            <w:r w:rsidRPr="003441F7">
              <w:rPr>
                <w:b/>
                <w:szCs w:val="24"/>
                <w:lang w:val="en-GB"/>
              </w:rPr>
              <w:t>Use simulations and other visual prompts to teach your pupils daily life skills.</w:t>
            </w:r>
            <w:r w:rsidRPr="003441F7">
              <w:rPr>
                <w:szCs w:val="24"/>
                <w:lang w:val="en-GB"/>
              </w:rPr>
              <w:t xml:space="preserve"> For example, you can use your pupil’s tablet to teach him/her about dressing, going to the grocery and other daily tasks.</w:t>
            </w:r>
          </w:p>
          <w:p w14:paraId="2429A103" w14:textId="77777777" w:rsidR="00C164D7" w:rsidRPr="003441F7" w:rsidRDefault="00C164D7" w:rsidP="00D3536E">
            <w:pPr>
              <w:autoSpaceDE w:val="0"/>
              <w:autoSpaceDN w:val="0"/>
              <w:adjustRightInd w:val="0"/>
              <w:jc w:val="both"/>
              <w:rPr>
                <w:szCs w:val="24"/>
                <w:lang w:val="en-GB"/>
              </w:rPr>
            </w:pPr>
          </w:p>
        </w:tc>
      </w:tr>
    </w:tbl>
    <w:p w14:paraId="24448A64" w14:textId="77777777" w:rsidR="00C164D7" w:rsidRPr="00345E18" w:rsidRDefault="00C164D7" w:rsidP="00C164D7">
      <w:pPr>
        <w:ind w:left="720"/>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164D7" w14:paraId="30B45F22" w14:textId="77777777" w:rsidTr="00D3536E">
        <w:trPr>
          <w:trHeight w:val="845"/>
        </w:trPr>
        <w:tc>
          <w:tcPr>
            <w:tcW w:w="1135" w:type="dxa"/>
            <w:tcBorders>
              <w:top w:val="nil"/>
              <w:bottom w:val="nil"/>
              <w:right w:val="nil"/>
            </w:tcBorders>
            <w:vAlign w:val="center"/>
          </w:tcPr>
          <w:p w14:paraId="747DDBB1" w14:textId="77777777" w:rsidR="00C164D7" w:rsidRDefault="00C164D7" w:rsidP="00D3536E">
            <w:pPr>
              <w:pStyle w:val="Heading3"/>
              <w:jc w:val="both"/>
            </w:pPr>
            <w:r>
              <w:rPr>
                <w:noProof/>
                <w:lang w:val="el-GR" w:eastAsia="el-GR"/>
              </w:rPr>
              <w:drawing>
                <wp:anchor distT="0" distB="0" distL="114300" distR="114300" simplePos="0" relativeHeight="251664384" behindDoc="0" locked="0" layoutInCell="1" allowOverlap="1" wp14:anchorId="47CBFC00" wp14:editId="778F5534">
                  <wp:simplePos x="0" y="0"/>
                  <wp:positionH relativeFrom="column">
                    <wp:posOffset>112395</wp:posOffset>
                  </wp:positionH>
                  <wp:positionV relativeFrom="paragraph">
                    <wp:posOffset>-47625</wp:posOffset>
                  </wp:positionV>
                  <wp:extent cx="505460" cy="505460"/>
                  <wp:effectExtent l="25400" t="0" r="2540" b="0"/>
                  <wp:wrapNone/>
                  <wp:docPr id="21"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1B620C70" w14:textId="77777777" w:rsidR="00C164D7" w:rsidRPr="00291A7F" w:rsidRDefault="00C164D7" w:rsidP="00D3536E">
            <w:pPr>
              <w:jc w:val="both"/>
            </w:pPr>
          </w:p>
        </w:tc>
        <w:tc>
          <w:tcPr>
            <w:tcW w:w="8159" w:type="dxa"/>
            <w:tcBorders>
              <w:left w:val="nil"/>
            </w:tcBorders>
            <w:vAlign w:val="center"/>
          </w:tcPr>
          <w:p w14:paraId="1B83F756" w14:textId="77777777" w:rsidR="00C164D7" w:rsidRPr="005F7D06" w:rsidRDefault="00C164D7" w:rsidP="00D3536E">
            <w:pPr>
              <w:pStyle w:val="Subtitle"/>
              <w:jc w:val="both"/>
            </w:pPr>
            <w:r w:rsidRPr="005F7D06">
              <w:t>School-based practical tips (focus on instructional methods)</w:t>
            </w:r>
          </w:p>
        </w:tc>
      </w:tr>
    </w:tbl>
    <w:p w14:paraId="12B25A5F" w14:textId="77777777" w:rsidR="00C164D7" w:rsidRDefault="00C164D7" w:rsidP="00C164D7">
      <w:pPr>
        <w:jc w:val="both"/>
        <w:rPr>
          <w:b/>
          <w:color w:val="2E3B42" w:themeColor="accent2"/>
          <w:sz w:val="28"/>
          <w:szCs w:val="28"/>
        </w:rPr>
      </w:pPr>
    </w:p>
    <w:p w14:paraId="5F4198C5" w14:textId="77777777" w:rsidR="00C164D7" w:rsidRPr="00C164D7" w:rsidRDefault="00C164D7" w:rsidP="00C164D7">
      <w:pPr>
        <w:pStyle w:val="Heading3"/>
        <w:rPr>
          <w:b/>
        </w:rPr>
      </w:pPr>
      <w:bookmarkStart w:id="1" w:name="_GoBack"/>
      <w:r w:rsidRPr="00C164D7">
        <w:rPr>
          <w:b/>
        </w:rPr>
        <w:t>Class Divisions / Arrangements</w:t>
      </w:r>
    </w:p>
    <w:bookmarkEnd w:id="1"/>
    <w:p w14:paraId="728EA87C" w14:textId="77777777" w:rsidR="00C164D7" w:rsidRPr="004D42D0" w:rsidRDefault="00C164D7" w:rsidP="00C164D7"/>
    <w:p w14:paraId="65E2A4F7" w14:textId="77777777" w:rsidR="00C164D7" w:rsidRDefault="00C164D7" w:rsidP="00C164D7">
      <w:pPr>
        <w:numPr>
          <w:ilvl w:val="0"/>
          <w:numId w:val="7"/>
        </w:numPr>
        <w:ind w:left="538" w:hanging="357"/>
        <w:jc w:val="both"/>
        <w:rPr>
          <w:szCs w:val="24"/>
          <w:lang w:val="en-GB"/>
        </w:rPr>
      </w:pPr>
      <w:r w:rsidRPr="003441F7">
        <w:rPr>
          <w:b/>
          <w:szCs w:val="24"/>
          <w:lang w:val="en-GB"/>
        </w:rPr>
        <w:t>Inform teachers through staff meetings about the importance of keeping records about their pupils’ progress;</w:t>
      </w:r>
      <w:r w:rsidRPr="003441F7">
        <w:rPr>
          <w:szCs w:val="24"/>
          <w:lang w:val="en-GB"/>
        </w:rPr>
        <w:t xml:space="preserve"> for example they can keep a record on the progress of pupils who have difficulties in adapting their behaviour; interventions can then be designed based on the needs of the pupils. </w:t>
      </w:r>
    </w:p>
    <w:p w14:paraId="42DF84C0" w14:textId="77777777" w:rsidR="00C164D7" w:rsidRPr="00B723C6" w:rsidRDefault="00C164D7" w:rsidP="00C164D7">
      <w:pPr>
        <w:numPr>
          <w:ilvl w:val="0"/>
          <w:numId w:val="7"/>
        </w:numPr>
        <w:jc w:val="both"/>
        <w:rPr>
          <w:szCs w:val="24"/>
          <w:lang w:val="en-GB"/>
        </w:rPr>
      </w:pPr>
      <w:r w:rsidRPr="00B723C6">
        <w:rPr>
          <w:b/>
          <w:szCs w:val="24"/>
          <w:lang w:val="en-GB"/>
        </w:rPr>
        <w:lastRenderedPageBreak/>
        <w:t>Make efforts to arrange weekly or fortnightly meetings between the parents and the staff</w:t>
      </w:r>
      <w:r w:rsidRPr="00B723C6">
        <w:rPr>
          <w:szCs w:val="24"/>
          <w:lang w:val="en-GB"/>
        </w:rPr>
        <w:t xml:space="preserve"> to discuss the progress of their children and to enhance the collaboration between home and school. This will help to monitor progress and to discuss issues that might be related to the social life of the pupil, such as marginalisation, social interactions with peers, behaviour at home, and self-esteem. </w:t>
      </w:r>
    </w:p>
    <w:p w14:paraId="13F49E9B" w14:textId="77777777" w:rsidR="00C164D7" w:rsidRDefault="00C164D7" w:rsidP="00C164D7">
      <w:pPr>
        <w:jc w:val="both"/>
        <w:rPr>
          <w:b/>
          <w:color w:val="2E3B42" w:themeColor="accent2"/>
          <w:sz w:val="28"/>
          <w:szCs w:val="28"/>
        </w:rPr>
      </w:pPr>
    </w:p>
    <w:p w14:paraId="2A756685" w14:textId="77777777" w:rsidR="00C164D7" w:rsidRPr="00C164D7" w:rsidRDefault="00C164D7" w:rsidP="00C164D7">
      <w:pPr>
        <w:pStyle w:val="Heading3"/>
        <w:rPr>
          <w:b/>
        </w:rPr>
      </w:pPr>
      <w:r w:rsidRPr="00C164D7">
        <w:rPr>
          <w:b/>
        </w:rPr>
        <w:t>Pupil Support</w:t>
      </w:r>
    </w:p>
    <w:p w14:paraId="74EAB75B" w14:textId="77777777" w:rsidR="00C164D7" w:rsidRPr="004D42D0" w:rsidRDefault="00C164D7" w:rsidP="00C164D7"/>
    <w:p w14:paraId="6B89235B" w14:textId="77777777" w:rsidR="00C164D7" w:rsidRDefault="00C164D7" w:rsidP="00C164D7">
      <w:pPr>
        <w:numPr>
          <w:ilvl w:val="0"/>
          <w:numId w:val="8"/>
        </w:numPr>
        <w:jc w:val="both"/>
        <w:rPr>
          <w:szCs w:val="24"/>
          <w:lang w:val="en-GB"/>
        </w:rPr>
      </w:pPr>
      <w:r w:rsidRPr="003441F7">
        <w:rPr>
          <w:b/>
          <w:szCs w:val="24"/>
          <w:lang w:val="en-GB"/>
        </w:rPr>
        <w:t>Establish an inclusive culture within your school</w:t>
      </w:r>
      <w:r w:rsidRPr="003441F7">
        <w:rPr>
          <w:szCs w:val="24"/>
          <w:lang w:val="en-GB"/>
        </w:rPr>
        <w:t xml:space="preserve"> – This can be achieved through workshops and seminars with academics. It will help teachers to understand aspects of inclusion and apply inclusive practices, which will in turn contribute to helping pupils to learn adaptive behaviour skills.</w:t>
      </w:r>
    </w:p>
    <w:p w14:paraId="071E394C" w14:textId="77777777" w:rsidR="00C164D7" w:rsidRPr="003441F7" w:rsidRDefault="00C164D7" w:rsidP="00C164D7">
      <w:pPr>
        <w:ind w:left="540"/>
        <w:jc w:val="both"/>
        <w:rPr>
          <w:szCs w:val="24"/>
          <w:lang w:val="en-GB"/>
        </w:rPr>
      </w:pPr>
    </w:p>
    <w:p w14:paraId="2D88C6FE" w14:textId="77777777" w:rsidR="00C164D7" w:rsidRDefault="00C164D7" w:rsidP="00C164D7">
      <w:pPr>
        <w:numPr>
          <w:ilvl w:val="0"/>
          <w:numId w:val="8"/>
        </w:numPr>
        <w:ind w:left="538" w:hanging="357"/>
        <w:jc w:val="both"/>
        <w:rPr>
          <w:szCs w:val="24"/>
          <w:lang w:val="en-GB"/>
        </w:rPr>
      </w:pPr>
      <w:r w:rsidRPr="003441F7">
        <w:rPr>
          <w:b/>
          <w:szCs w:val="24"/>
          <w:lang w:val="en-GB"/>
        </w:rPr>
        <w:t>Collaborate with universities and in collaboration organise events/trainings at the university for teachers and pupils.</w:t>
      </w:r>
      <w:r w:rsidRPr="003441F7">
        <w:rPr>
          <w:szCs w:val="24"/>
          <w:lang w:val="en-GB"/>
        </w:rPr>
        <w:t xml:space="preserve"> This will help teachers to learn about materials and practices in relation to adaptive behaviour skills, and apply these with their pupils.</w:t>
      </w:r>
    </w:p>
    <w:p w14:paraId="7346C275" w14:textId="77777777" w:rsidR="00C164D7" w:rsidRPr="003441F7" w:rsidRDefault="00C164D7" w:rsidP="00C164D7">
      <w:pPr>
        <w:ind w:left="538"/>
        <w:jc w:val="both"/>
        <w:rPr>
          <w:szCs w:val="24"/>
          <w:lang w:val="en-GB"/>
        </w:rPr>
      </w:pPr>
    </w:p>
    <w:p w14:paraId="7C9EE794" w14:textId="77777777" w:rsidR="00C164D7" w:rsidRDefault="00C164D7" w:rsidP="00C164D7">
      <w:pPr>
        <w:numPr>
          <w:ilvl w:val="0"/>
          <w:numId w:val="8"/>
        </w:numPr>
        <w:ind w:left="538" w:hanging="357"/>
        <w:jc w:val="both"/>
        <w:rPr>
          <w:szCs w:val="24"/>
          <w:lang w:val="en-GB"/>
        </w:rPr>
      </w:pPr>
      <w:r w:rsidRPr="003441F7">
        <w:rPr>
          <w:b/>
          <w:szCs w:val="24"/>
          <w:lang w:val="en-GB"/>
        </w:rPr>
        <w:t>Inform teachers through staff meetings about the importance of keeping records about their pupils’ progress;</w:t>
      </w:r>
      <w:r w:rsidRPr="003441F7">
        <w:rPr>
          <w:szCs w:val="24"/>
          <w:lang w:val="en-GB"/>
        </w:rPr>
        <w:t xml:space="preserve"> for example they can keep a record on the progress of pupils who have difficulties in adapting their behaviour; interventions can then be designed based on the needs of the pupils. </w:t>
      </w:r>
    </w:p>
    <w:p w14:paraId="77271A50" w14:textId="77777777" w:rsidR="00C164D7" w:rsidRPr="003441F7" w:rsidRDefault="00C164D7" w:rsidP="00C164D7">
      <w:pPr>
        <w:ind w:left="538"/>
        <w:jc w:val="both"/>
        <w:rPr>
          <w:szCs w:val="24"/>
          <w:lang w:val="en-GB"/>
        </w:rPr>
      </w:pPr>
    </w:p>
    <w:p w14:paraId="32297184" w14:textId="77777777" w:rsidR="00C164D7" w:rsidRDefault="00C164D7" w:rsidP="00C164D7">
      <w:pPr>
        <w:numPr>
          <w:ilvl w:val="0"/>
          <w:numId w:val="8"/>
        </w:numPr>
        <w:ind w:left="538" w:hanging="357"/>
        <w:jc w:val="both"/>
        <w:rPr>
          <w:szCs w:val="24"/>
          <w:lang w:val="en-GB"/>
        </w:rPr>
      </w:pPr>
      <w:r w:rsidRPr="003441F7">
        <w:rPr>
          <w:b/>
          <w:szCs w:val="24"/>
          <w:lang w:val="en-GB"/>
        </w:rPr>
        <w:t>Provide training for teachers and SEN teachers from external agencies</w:t>
      </w:r>
      <w:r w:rsidRPr="003441F7">
        <w:rPr>
          <w:szCs w:val="24"/>
          <w:lang w:val="en-GB"/>
        </w:rPr>
        <w:t xml:space="preserve">, such as educational psychologist services and academics and relate these </w:t>
      </w:r>
      <w:proofErr w:type="spellStart"/>
      <w:r w:rsidRPr="003441F7">
        <w:rPr>
          <w:szCs w:val="24"/>
          <w:lang w:val="en-GB"/>
        </w:rPr>
        <w:t>to</w:t>
      </w:r>
      <w:proofErr w:type="spellEnd"/>
      <w:r w:rsidRPr="003441F7">
        <w:rPr>
          <w:szCs w:val="24"/>
          <w:lang w:val="en-GB"/>
        </w:rPr>
        <w:t xml:space="preserve"> ways that teachers can help pupils develop their adaptive skills. </w:t>
      </w:r>
    </w:p>
    <w:p w14:paraId="7AF49191" w14:textId="77777777" w:rsidR="00C164D7" w:rsidRPr="003441F7" w:rsidRDefault="00C164D7" w:rsidP="00C164D7">
      <w:pPr>
        <w:ind w:left="538"/>
        <w:jc w:val="both"/>
        <w:rPr>
          <w:szCs w:val="24"/>
          <w:lang w:val="en-GB"/>
        </w:rPr>
      </w:pPr>
    </w:p>
    <w:p w14:paraId="138165DC" w14:textId="77777777" w:rsidR="00C164D7" w:rsidRPr="003441F7" w:rsidRDefault="00C164D7" w:rsidP="00C164D7">
      <w:pPr>
        <w:numPr>
          <w:ilvl w:val="0"/>
          <w:numId w:val="8"/>
        </w:numPr>
        <w:ind w:left="538" w:hanging="357"/>
        <w:jc w:val="both"/>
        <w:rPr>
          <w:szCs w:val="24"/>
          <w:lang w:val="en-GB"/>
        </w:rPr>
      </w:pPr>
      <w:r w:rsidRPr="003441F7">
        <w:rPr>
          <w:b/>
          <w:szCs w:val="24"/>
          <w:lang w:val="en-GB"/>
        </w:rPr>
        <w:t>Provide ICT training to teachers,</w:t>
      </w:r>
      <w:r w:rsidRPr="003441F7">
        <w:rPr>
          <w:szCs w:val="24"/>
          <w:lang w:val="en-GB"/>
        </w:rPr>
        <w:t xml:space="preserve"> so they can use the technology with their pupils. Teachers must be experienced in using ICT before they teach those skills to the pupils. </w:t>
      </w:r>
    </w:p>
    <w:p w14:paraId="662D57E6" w14:textId="77777777" w:rsidR="00C164D7" w:rsidRDefault="00C164D7" w:rsidP="00C164D7">
      <w:pPr>
        <w:jc w:val="both"/>
        <w:rPr>
          <w:b/>
          <w:color w:val="2E3B42" w:themeColor="accent2"/>
          <w:sz w:val="28"/>
          <w:szCs w:val="28"/>
        </w:rPr>
      </w:pPr>
    </w:p>
    <w:p w14:paraId="74920E7C" w14:textId="77777777" w:rsidR="00C164D7" w:rsidRPr="00C164D7" w:rsidRDefault="00C164D7" w:rsidP="00C164D7">
      <w:pPr>
        <w:pStyle w:val="Heading3"/>
        <w:rPr>
          <w:b/>
        </w:rPr>
      </w:pPr>
      <w:r w:rsidRPr="00C164D7">
        <w:rPr>
          <w:b/>
        </w:rPr>
        <w:t>School Projects</w:t>
      </w:r>
    </w:p>
    <w:p w14:paraId="22429586" w14:textId="77777777" w:rsidR="00C164D7" w:rsidRPr="004D42D0" w:rsidRDefault="00C164D7" w:rsidP="00C164D7"/>
    <w:p w14:paraId="6F6EED80" w14:textId="77777777" w:rsidR="00C164D7" w:rsidRDefault="00C164D7" w:rsidP="00C164D7">
      <w:pPr>
        <w:numPr>
          <w:ilvl w:val="0"/>
          <w:numId w:val="10"/>
        </w:numPr>
        <w:jc w:val="both"/>
        <w:rPr>
          <w:lang w:eastAsia="en-GB"/>
        </w:rPr>
      </w:pPr>
      <w:r w:rsidRPr="00B723C6">
        <w:rPr>
          <w:b/>
          <w:lang w:val="en-GB" w:eastAsia="en-GB"/>
        </w:rPr>
        <w:t xml:space="preserve">Use ABAS-2 (Adaptive Behaviour Assessment System) for evaluating </w:t>
      </w:r>
      <w:r w:rsidRPr="00B723C6">
        <w:rPr>
          <w:b/>
          <w:color w:val="252525"/>
          <w:shd w:val="clear" w:color="auto" w:fill="FFFFFF"/>
        </w:rPr>
        <w:t>the three general areas of adaptive behavior</w:t>
      </w:r>
      <w:r w:rsidRPr="00B723C6">
        <w:rPr>
          <w:color w:val="252525"/>
          <w:shd w:val="clear" w:color="auto" w:fill="FFFFFF"/>
        </w:rPr>
        <w:t xml:space="preserve"> (Conceptual, Social, </w:t>
      </w:r>
      <w:proofErr w:type="gramStart"/>
      <w:r w:rsidRPr="00B723C6">
        <w:rPr>
          <w:color w:val="252525"/>
          <w:shd w:val="clear" w:color="auto" w:fill="FFFFFF"/>
        </w:rPr>
        <w:t>Practical</w:t>
      </w:r>
      <w:proofErr w:type="gramEnd"/>
      <w:r w:rsidRPr="00B723C6">
        <w:rPr>
          <w:color w:val="252525"/>
          <w:shd w:val="clear" w:color="auto" w:fill="FFFFFF"/>
        </w:rPr>
        <w:t xml:space="preserve">). </w:t>
      </w:r>
      <w:r w:rsidRPr="00B723C6">
        <w:rPr>
          <w:lang w:eastAsia="en-GB"/>
        </w:rPr>
        <w:t xml:space="preserve">This will help to: </w:t>
      </w:r>
    </w:p>
    <w:p w14:paraId="0D9A2DB5" w14:textId="77777777" w:rsidR="00C164D7" w:rsidRPr="00B723C6" w:rsidRDefault="00C164D7" w:rsidP="00C164D7">
      <w:pPr>
        <w:ind w:left="540"/>
        <w:jc w:val="both"/>
        <w:rPr>
          <w:lang w:eastAsia="en-GB"/>
        </w:rPr>
      </w:pPr>
    </w:p>
    <w:p w14:paraId="6ED822F0" w14:textId="77777777" w:rsidR="00C164D7" w:rsidRPr="004D42D0" w:rsidRDefault="00C164D7" w:rsidP="00C164D7">
      <w:pPr>
        <w:pStyle w:val="ListParagraph"/>
        <w:numPr>
          <w:ilvl w:val="0"/>
          <w:numId w:val="11"/>
        </w:numPr>
        <w:shd w:val="clear" w:color="auto" w:fill="FFFFFF"/>
        <w:jc w:val="both"/>
        <w:rPr>
          <w:rFonts w:eastAsia="Times New Roman"/>
          <w:color w:val="252525"/>
        </w:rPr>
      </w:pPr>
      <w:r w:rsidRPr="004D42D0">
        <w:rPr>
          <w:rFonts w:eastAsia="Times New Roman"/>
          <w:color w:val="252525"/>
        </w:rPr>
        <w:t>Determine how individual is responding to daily demands</w:t>
      </w:r>
    </w:p>
    <w:p w14:paraId="74C13524" w14:textId="77777777" w:rsidR="00C164D7" w:rsidRPr="004D42D0" w:rsidRDefault="00C164D7" w:rsidP="00C164D7">
      <w:pPr>
        <w:pStyle w:val="ListParagraph"/>
        <w:numPr>
          <w:ilvl w:val="0"/>
          <w:numId w:val="11"/>
        </w:numPr>
        <w:shd w:val="clear" w:color="auto" w:fill="FFFFFF"/>
        <w:jc w:val="both"/>
        <w:rPr>
          <w:rFonts w:eastAsia="Times New Roman"/>
          <w:color w:val="252525"/>
        </w:rPr>
      </w:pPr>
      <w:r w:rsidRPr="004D42D0">
        <w:rPr>
          <w:rFonts w:eastAsia="Times New Roman"/>
          <w:color w:val="252525"/>
        </w:rPr>
        <w:t>Develop treatment and training goals</w:t>
      </w:r>
    </w:p>
    <w:p w14:paraId="33208BE8" w14:textId="77777777" w:rsidR="00C164D7" w:rsidRPr="004D42D0" w:rsidRDefault="00C164D7" w:rsidP="00C164D7">
      <w:pPr>
        <w:pStyle w:val="ListParagraph"/>
        <w:numPr>
          <w:ilvl w:val="0"/>
          <w:numId w:val="11"/>
        </w:numPr>
        <w:shd w:val="clear" w:color="auto" w:fill="FFFFFF"/>
        <w:jc w:val="both"/>
        <w:rPr>
          <w:rFonts w:eastAsia="Times New Roman"/>
          <w:color w:val="252525"/>
        </w:rPr>
      </w:pPr>
      <w:r w:rsidRPr="004D42D0">
        <w:rPr>
          <w:rFonts w:eastAsia="Times New Roman"/>
          <w:color w:val="252525"/>
        </w:rPr>
        <w:t>Determine eligibility for services and Social Security benefits</w:t>
      </w:r>
    </w:p>
    <w:p w14:paraId="02A4176E" w14:textId="77777777" w:rsidR="00C164D7" w:rsidRPr="004D42D0" w:rsidRDefault="00C164D7" w:rsidP="00C164D7">
      <w:pPr>
        <w:pStyle w:val="ListParagraph"/>
        <w:numPr>
          <w:ilvl w:val="0"/>
          <w:numId w:val="11"/>
        </w:numPr>
        <w:shd w:val="clear" w:color="auto" w:fill="FFFFFF"/>
        <w:jc w:val="both"/>
        <w:rPr>
          <w:rFonts w:eastAsia="Times New Roman"/>
          <w:color w:val="252525"/>
        </w:rPr>
      </w:pPr>
      <w:r w:rsidRPr="004D42D0">
        <w:rPr>
          <w:rFonts w:eastAsia="Times New Roman"/>
          <w:color w:val="252525"/>
        </w:rPr>
        <w:t>Assess individuals with Intellectual Disability (ID), learning difficulties, ADD/ADHD, or other impairments</w:t>
      </w:r>
    </w:p>
    <w:p w14:paraId="6C2389C3" w14:textId="77777777" w:rsidR="00C164D7" w:rsidRDefault="00C164D7" w:rsidP="00C164D7">
      <w:pPr>
        <w:pStyle w:val="ListParagraph"/>
        <w:numPr>
          <w:ilvl w:val="0"/>
          <w:numId w:val="11"/>
        </w:numPr>
        <w:shd w:val="clear" w:color="auto" w:fill="FFFFFF"/>
        <w:jc w:val="both"/>
        <w:rPr>
          <w:rFonts w:eastAsia="Times New Roman"/>
          <w:color w:val="252525"/>
        </w:rPr>
      </w:pPr>
      <w:r w:rsidRPr="004D42D0">
        <w:rPr>
          <w:rFonts w:eastAsia="Times New Roman"/>
          <w:color w:val="252525"/>
        </w:rPr>
        <w:t>Assess capability of adults to live independently</w:t>
      </w:r>
    </w:p>
    <w:p w14:paraId="2A68DD87" w14:textId="77777777" w:rsidR="00C164D7" w:rsidRPr="004D42D0" w:rsidRDefault="00C164D7" w:rsidP="00C164D7">
      <w:pPr>
        <w:pStyle w:val="ListParagraph"/>
        <w:shd w:val="clear" w:color="auto" w:fill="FFFFFF"/>
        <w:jc w:val="both"/>
        <w:rPr>
          <w:rFonts w:eastAsia="Times New Roman"/>
          <w:color w:val="252525"/>
        </w:rPr>
      </w:pPr>
    </w:p>
    <w:p w14:paraId="14074CCD" w14:textId="77777777" w:rsidR="00C164D7" w:rsidRPr="00B723C6" w:rsidRDefault="00C164D7" w:rsidP="00C164D7">
      <w:pPr>
        <w:ind w:left="540"/>
        <w:jc w:val="both"/>
        <w:rPr>
          <w:lang w:val="en-GB" w:eastAsia="en-GB"/>
        </w:rPr>
      </w:pPr>
      <w:r w:rsidRPr="00B723C6">
        <w:rPr>
          <w:lang w:val="en-GB" w:eastAsia="en-GB"/>
        </w:rPr>
        <w:t xml:space="preserve">[Reference: </w:t>
      </w:r>
    </w:p>
    <w:p w14:paraId="771A1642" w14:textId="77777777" w:rsidR="00C164D7" w:rsidRDefault="00C164D7" w:rsidP="00C164D7">
      <w:pPr>
        <w:ind w:left="540"/>
        <w:jc w:val="both"/>
        <w:rPr>
          <w:rFonts w:eastAsia="Times New Roman"/>
          <w:color w:val="000000"/>
          <w:lang w:eastAsia="el-GR"/>
        </w:rPr>
      </w:pPr>
      <w:hyperlink r:id="rId14" w:history="1">
        <w:r w:rsidRPr="00B723C6">
          <w:rPr>
            <w:rStyle w:val="Hyperlink"/>
            <w:rFonts w:eastAsia="Times New Roman"/>
            <w:lang w:eastAsia="el-GR"/>
          </w:rPr>
          <w:t>http://www.pearsonclinical.com/psychology/products/100000449/adaptive-behavior-assessment-system-second-edition-abas-second-edition.html</w:t>
        </w:r>
      </w:hyperlink>
      <w:r w:rsidRPr="00B723C6">
        <w:rPr>
          <w:rFonts w:eastAsia="Times New Roman"/>
          <w:color w:val="000000"/>
          <w:lang w:eastAsia="el-GR"/>
        </w:rPr>
        <w:t>]</w:t>
      </w:r>
    </w:p>
    <w:p w14:paraId="3ED4CE40" w14:textId="77777777" w:rsidR="00C164D7" w:rsidRDefault="00C164D7" w:rsidP="00C164D7">
      <w:pPr>
        <w:autoSpaceDE w:val="0"/>
        <w:autoSpaceDN w:val="0"/>
        <w:adjustRightInd w:val="0"/>
        <w:jc w:val="both"/>
        <w:rPr>
          <w:rFonts w:eastAsia="Times New Roman"/>
          <w:color w:val="000000"/>
          <w:lang w:eastAsia="el-GR"/>
        </w:rPr>
      </w:pPr>
    </w:p>
    <w:p w14:paraId="04F932DD" w14:textId="77777777" w:rsidR="00C164D7" w:rsidRPr="00B723C6" w:rsidRDefault="00C164D7" w:rsidP="00C164D7">
      <w:pPr>
        <w:autoSpaceDE w:val="0"/>
        <w:autoSpaceDN w:val="0"/>
        <w:adjustRightInd w:val="0"/>
        <w:jc w:val="both"/>
        <w:rPr>
          <w:szCs w:val="24"/>
          <w:lang w:val="en-GB"/>
        </w:rPr>
      </w:pPr>
      <w:r w:rsidRPr="00B723C6">
        <w:rPr>
          <w:szCs w:val="24"/>
          <w:lang w:val="en-GB"/>
        </w:rPr>
        <w:t xml:space="preserve">Some commercially available tools might not be culturally appropriate for pupils in certain contexts, and adaptations or alternate versions may be more suitable. </w:t>
      </w:r>
    </w:p>
    <w:p w14:paraId="6720F1F1" w14:textId="77777777" w:rsidR="00C164D7" w:rsidRPr="00B723C6" w:rsidRDefault="00C164D7" w:rsidP="00C164D7">
      <w:pPr>
        <w:autoSpaceDE w:val="0"/>
        <w:autoSpaceDN w:val="0"/>
        <w:adjustRightInd w:val="0"/>
        <w:jc w:val="both"/>
        <w:rPr>
          <w:szCs w:val="24"/>
          <w:lang w:val="en-GB"/>
        </w:rPr>
      </w:pPr>
      <w:r w:rsidRPr="00B723C6">
        <w:rPr>
          <w:szCs w:val="24"/>
          <w:lang w:val="en-GB"/>
        </w:rPr>
        <w:lastRenderedPageBreak/>
        <w:t>Consider the risks of measuring a pupil’s adaptive behaviour based on standards from the majority culture and failing to take into account the pupil’s own culture. It is important to create a history log in which you record pupil’s overall behavio</w:t>
      </w:r>
      <w:r>
        <w:rPr>
          <w:szCs w:val="24"/>
          <w:lang w:val="en-GB"/>
        </w:rPr>
        <w:t>u</w:t>
      </w:r>
      <w:r w:rsidRPr="00B723C6">
        <w:rPr>
          <w:szCs w:val="24"/>
          <w:lang w:val="en-GB"/>
        </w:rPr>
        <w:t xml:space="preserve">r, history of family background, other health issues, skills and home background so as to be aware of the pupil’s own culture. </w:t>
      </w:r>
    </w:p>
    <w:p w14:paraId="75EEAA73" w14:textId="77777777" w:rsidR="00C164D7" w:rsidRDefault="00C164D7" w:rsidP="00C164D7">
      <w:pPr>
        <w:jc w:val="both"/>
        <w:rPr>
          <w:b/>
          <w:color w:val="2E3B42" w:themeColor="accent2"/>
          <w:sz w:val="28"/>
          <w:szCs w:val="28"/>
        </w:rPr>
      </w:pPr>
    </w:p>
    <w:p w14:paraId="600E004D" w14:textId="77777777" w:rsidR="00C164D7" w:rsidRPr="00C164D7" w:rsidRDefault="00C164D7" w:rsidP="00C164D7">
      <w:pPr>
        <w:pStyle w:val="Heading3"/>
        <w:rPr>
          <w:b/>
        </w:rPr>
      </w:pPr>
      <w:r w:rsidRPr="00C164D7">
        <w:rPr>
          <w:b/>
        </w:rPr>
        <w:t xml:space="preserve">Student Council </w:t>
      </w:r>
    </w:p>
    <w:p w14:paraId="142E7400" w14:textId="77777777" w:rsidR="00C164D7" w:rsidRPr="004D42D0" w:rsidRDefault="00C164D7" w:rsidP="00C164D7"/>
    <w:p w14:paraId="5524D84D" w14:textId="77777777" w:rsidR="00C164D7" w:rsidRDefault="00C164D7" w:rsidP="00C164D7">
      <w:pPr>
        <w:ind w:left="538"/>
        <w:jc w:val="both"/>
        <w:rPr>
          <w:szCs w:val="24"/>
          <w:lang w:val="en-GB"/>
        </w:rPr>
      </w:pPr>
      <w:r w:rsidRPr="00B723C6">
        <w:rPr>
          <w:b/>
          <w:szCs w:val="24"/>
          <w:lang w:val="en-GB"/>
        </w:rPr>
        <w:t>Where possible, ensure that further provisions are made</w:t>
      </w:r>
      <w:r w:rsidRPr="00B723C6">
        <w:rPr>
          <w:szCs w:val="24"/>
          <w:lang w:val="en-GB"/>
        </w:rPr>
        <w:t xml:space="preserve"> for those pupils, such as additional support in the class with the presence of a teaching assistant. </w:t>
      </w:r>
    </w:p>
    <w:p w14:paraId="018AD393" w14:textId="77777777" w:rsidR="00C164D7" w:rsidRDefault="00C164D7" w:rsidP="00C164D7">
      <w:pPr>
        <w:jc w:val="both"/>
        <w:rPr>
          <w:szCs w:val="24"/>
          <w:lang w:val="en-GB"/>
        </w:rPr>
      </w:pPr>
    </w:p>
    <w:p w14:paraId="45E35A76" w14:textId="77777777" w:rsidR="00C164D7" w:rsidRPr="00C164D7" w:rsidRDefault="00C164D7" w:rsidP="00C164D7">
      <w:pPr>
        <w:pStyle w:val="Heading3"/>
        <w:rPr>
          <w:b/>
        </w:rPr>
      </w:pPr>
      <w:r w:rsidRPr="00C164D7">
        <w:rPr>
          <w:b/>
        </w:rPr>
        <w:t xml:space="preserve">Pupil Support </w:t>
      </w:r>
    </w:p>
    <w:p w14:paraId="3E123337" w14:textId="77777777" w:rsidR="00C164D7" w:rsidRPr="00B723C6" w:rsidRDefault="00C164D7" w:rsidP="00C164D7">
      <w:pPr>
        <w:jc w:val="both"/>
        <w:rPr>
          <w:b/>
          <w:color w:val="2E3B42" w:themeColor="accent2"/>
          <w:sz w:val="28"/>
          <w:szCs w:val="28"/>
        </w:rPr>
      </w:pPr>
    </w:p>
    <w:p w14:paraId="5B439BD2" w14:textId="77777777" w:rsidR="00C164D7" w:rsidRPr="00B723C6" w:rsidRDefault="00C164D7" w:rsidP="00C164D7">
      <w:pPr>
        <w:ind w:left="540"/>
        <w:jc w:val="both"/>
        <w:rPr>
          <w:szCs w:val="24"/>
          <w:lang w:val="en-GB"/>
        </w:rPr>
      </w:pPr>
      <w:r w:rsidRPr="00B723C6">
        <w:rPr>
          <w:b/>
          <w:szCs w:val="24"/>
          <w:lang w:val="en-GB"/>
        </w:rPr>
        <w:t>Make efforts to arrange weekly or fortnightly meetings between the parents and the staff</w:t>
      </w:r>
      <w:r w:rsidRPr="00B723C6">
        <w:rPr>
          <w:szCs w:val="24"/>
          <w:lang w:val="en-GB"/>
        </w:rPr>
        <w:t xml:space="preserve"> to discuss the progress of their children and to enhance the collaboration between home and school. This will help to monitor progress and to discuss issues that might be related to the social life of the pupil, such as marginalisation, social interactions with peers, behaviour at home, and self-esteem. </w:t>
      </w:r>
    </w:p>
    <w:p w14:paraId="4BBDB522" w14:textId="77777777" w:rsidR="00C164D7" w:rsidRDefault="00C164D7" w:rsidP="00C164D7">
      <w:pPr>
        <w:jc w:val="both"/>
        <w:rPr>
          <w:b/>
          <w:color w:val="2E3B42" w:themeColor="accent2"/>
          <w:sz w:val="28"/>
          <w:szCs w:val="28"/>
        </w:rPr>
      </w:pPr>
    </w:p>
    <w:p w14:paraId="47DABE21" w14:textId="77777777" w:rsidR="00C164D7" w:rsidRPr="00C164D7" w:rsidRDefault="00C164D7" w:rsidP="00C164D7">
      <w:pPr>
        <w:pStyle w:val="Heading3"/>
        <w:rPr>
          <w:b/>
        </w:rPr>
      </w:pPr>
      <w:r w:rsidRPr="00C164D7">
        <w:rPr>
          <w:b/>
        </w:rPr>
        <w:t>Teacher Professional Development</w:t>
      </w:r>
    </w:p>
    <w:p w14:paraId="2DBCDD98" w14:textId="77777777" w:rsidR="00C164D7" w:rsidRPr="004D42D0" w:rsidRDefault="00C164D7" w:rsidP="00C164D7"/>
    <w:p w14:paraId="418DCF62" w14:textId="77777777" w:rsidR="00C164D7" w:rsidRDefault="00C164D7" w:rsidP="00C164D7">
      <w:pPr>
        <w:numPr>
          <w:ilvl w:val="0"/>
          <w:numId w:val="9"/>
        </w:numPr>
        <w:jc w:val="both"/>
        <w:rPr>
          <w:szCs w:val="24"/>
          <w:lang w:val="en-GB"/>
        </w:rPr>
      </w:pPr>
      <w:r w:rsidRPr="00B723C6">
        <w:rPr>
          <w:b/>
          <w:szCs w:val="24"/>
          <w:lang w:val="en-GB"/>
        </w:rPr>
        <w:t>Provide ICT training to teachers,</w:t>
      </w:r>
      <w:r w:rsidRPr="00B723C6">
        <w:rPr>
          <w:szCs w:val="24"/>
          <w:lang w:val="en-GB"/>
        </w:rPr>
        <w:t xml:space="preserve"> so they can use the technology with their pupils. Teachers must be experienced in using ICT before they teach those skills to the pupils. </w:t>
      </w:r>
    </w:p>
    <w:p w14:paraId="7859C128" w14:textId="77777777" w:rsidR="00C164D7" w:rsidRDefault="00C164D7" w:rsidP="00C164D7">
      <w:pPr>
        <w:ind w:left="540"/>
        <w:jc w:val="both"/>
        <w:rPr>
          <w:szCs w:val="24"/>
          <w:lang w:val="en-GB"/>
        </w:rPr>
      </w:pPr>
    </w:p>
    <w:p w14:paraId="26542494" w14:textId="77777777" w:rsidR="00C164D7" w:rsidRPr="00B723C6" w:rsidRDefault="00C164D7" w:rsidP="00C164D7">
      <w:pPr>
        <w:numPr>
          <w:ilvl w:val="0"/>
          <w:numId w:val="9"/>
        </w:numPr>
        <w:ind w:left="538" w:hanging="357"/>
        <w:jc w:val="both"/>
        <w:rPr>
          <w:szCs w:val="24"/>
          <w:lang w:val="en-GB"/>
        </w:rPr>
      </w:pPr>
      <w:proofErr w:type="spellStart"/>
      <w:r w:rsidRPr="00B723C6">
        <w:rPr>
          <w:b/>
          <w:szCs w:val="24"/>
          <w:lang w:val="en-GB"/>
        </w:rPr>
        <w:t>Εquip</w:t>
      </w:r>
      <w:proofErr w:type="spellEnd"/>
      <w:r w:rsidRPr="00B723C6">
        <w:rPr>
          <w:b/>
          <w:szCs w:val="24"/>
          <w:lang w:val="en-GB"/>
        </w:rPr>
        <w:t xml:space="preserve"> the school with tablets and personal computers</w:t>
      </w:r>
      <w:r w:rsidRPr="00B723C6">
        <w:rPr>
          <w:szCs w:val="24"/>
          <w:lang w:val="en-GB"/>
        </w:rPr>
        <w:t xml:space="preserve"> so teachers can use technology to teach to their </w:t>
      </w:r>
      <w:proofErr w:type="gramStart"/>
      <w:r w:rsidRPr="00B723C6">
        <w:rPr>
          <w:szCs w:val="24"/>
          <w:lang w:val="en-GB"/>
        </w:rPr>
        <w:t>pupils</w:t>
      </w:r>
      <w:proofErr w:type="gramEnd"/>
      <w:r w:rsidRPr="00B723C6">
        <w:rPr>
          <w:szCs w:val="24"/>
          <w:lang w:val="en-GB"/>
        </w:rPr>
        <w:t xml:space="preserve"> daily life skills such as going to the grocery store. </w:t>
      </w:r>
    </w:p>
    <w:p w14:paraId="050BFDCA" w14:textId="77777777" w:rsidR="00C164D7" w:rsidRDefault="00C164D7" w:rsidP="00C164D7">
      <w:pPr>
        <w:pStyle w:val="Heading3"/>
        <w:jc w:val="both"/>
        <w:rPr>
          <w:sz w:val="22"/>
          <w:szCs w:val="22"/>
        </w:rPr>
      </w:pPr>
    </w:p>
    <w:p w14:paraId="3813CE74" w14:textId="77777777" w:rsidR="00C164D7" w:rsidRPr="004D42D0" w:rsidRDefault="00C164D7" w:rsidP="00C164D7"/>
    <w:p w14:paraId="6AE40816" w14:textId="77777777" w:rsidR="00C164D7" w:rsidRPr="00C164D7" w:rsidRDefault="00C164D7" w:rsidP="00C164D7">
      <w:pPr>
        <w:autoSpaceDE w:val="0"/>
        <w:autoSpaceDN w:val="0"/>
        <w:adjustRightInd w:val="0"/>
        <w:jc w:val="both"/>
        <w:rPr>
          <w:rStyle w:val="Heading3Char"/>
          <w:b/>
        </w:rPr>
      </w:pPr>
      <w:r w:rsidRPr="00C164D7">
        <w:rPr>
          <w:rStyle w:val="Heading3Char"/>
          <w:b/>
        </w:rPr>
        <w:t>Supportive Literature</w:t>
      </w:r>
    </w:p>
    <w:p w14:paraId="49172CED" w14:textId="77777777" w:rsidR="00C164D7" w:rsidRDefault="00C164D7" w:rsidP="00C164D7">
      <w:pPr>
        <w:autoSpaceDE w:val="0"/>
        <w:autoSpaceDN w:val="0"/>
        <w:adjustRightInd w:val="0"/>
        <w:jc w:val="both"/>
        <w:rPr>
          <w:color w:val="000000"/>
          <w:lang w:val="en-GB" w:eastAsia="en-GB"/>
        </w:rPr>
      </w:pPr>
      <w:r w:rsidRPr="00B723C6">
        <w:rPr>
          <w:b/>
          <w:color w:val="2E3B42" w:themeColor="accent2"/>
          <w:sz w:val="28"/>
          <w:szCs w:val="28"/>
        </w:rPr>
        <w:br/>
      </w:r>
      <w:r w:rsidRPr="00B723C6">
        <w:rPr>
          <w:b/>
          <w:bCs/>
          <w:color w:val="000000"/>
          <w:lang w:val="en-GB"/>
        </w:rPr>
        <w:t>Definition</w:t>
      </w:r>
      <w:r w:rsidRPr="00B723C6">
        <w:rPr>
          <w:b/>
          <w:bCs/>
          <w:color w:val="000000"/>
        </w:rPr>
        <w:t xml:space="preserve">: </w:t>
      </w:r>
      <w:r w:rsidRPr="00B723C6">
        <w:rPr>
          <w:b/>
          <w:bCs/>
          <w:color w:val="000000"/>
          <w:lang w:val="en-GB"/>
        </w:rPr>
        <w:t xml:space="preserve"> </w:t>
      </w:r>
      <w:r w:rsidRPr="00B723C6">
        <w:rPr>
          <w:bCs/>
          <w:color w:val="000000"/>
          <w:shd w:val="clear" w:color="auto" w:fill="FFFFFF"/>
          <w:lang w:val="en-GB"/>
        </w:rPr>
        <w:t>Adaptive behaviour</w:t>
      </w:r>
      <w:r w:rsidRPr="00B723C6">
        <w:rPr>
          <w:rStyle w:val="apple-converted-space"/>
          <w:color w:val="000000"/>
          <w:shd w:val="clear" w:color="auto" w:fill="FFFFFF"/>
          <w:lang w:val="en-GB"/>
        </w:rPr>
        <w:t> </w:t>
      </w:r>
      <w:r w:rsidRPr="00B723C6">
        <w:rPr>
          <w:color w:val="000000"/>
          <w:shd w:val="clear" w:color="auto" w:fill="FFFFFF"/>
          <w:lang w:val="en-GB"/>
        </w:rPr>
        <w:t>is the collection of conceptual, social, and practical skills that all people learn in order to function in their daily lives (</w:t>
      </w:r>
      <w:hyperlink r:id="rId15" w:history="1">
        <w:r w:rsidRPr="00B723C6">
          <w:rPr>
            <w:rStyle w:val="Hyperlink"/>
            <w:color w:val="000000"/>
            <w:shd w:val="clear" w:color="auto" w:fill="FFFFFF"/>
            <w:lang w:val="en-GB"/>
          </w:rPr>
          <w:t>https://aaidd.org</w:t>
        </w:r>
      </w:hyperlink>
      <w:r w:rsidRPr="00B723C6">
        <w:rPr>
          <w:color w:val="000000"/>
          <w:lang w:val="en-GB" w:eastAsia="en-GB"/>
        </w:rPr>
        <w:t xml:space="preserve">). By definition, children with intellectual disabilities have substantial deficits in adaptive behaviour.  In particular, children with adaptive behaviour tend to have deficits in the following skills areas: </w:t>
      </w:r>
      <w:r w:rsidRPr="00B723C6">
        <w:rPr>
          <w:b/>
          <w:i/>
          <w:color w:val="000000"/>
          <w:lang w:val="en-GB" w:eastAsia="en-GB"/>
        </w:rPr>
        <w:t>Conceptual skills</w:t>
      </w:r>
      <w:r w:rsidRPr="00B723C6">
        <w:rPr>
          <w:color w:val="000000"/>
          <w:lang w:val="en-GB" w:eastAsia="en-GB"/>
        </w:rPr>
        <w:t xml:space="preserve">, such as planning and organising and the use of abstract concepts; </w:t>
      </w:r>
      <w:r w:rsidRPr="00B723C6">
        <w:rPr>
          <w:b/>
          <w:i/>
          <w:color w:val="000000"/>
          <w:lang w:val="en-GB" w:eastAsia="en-GB"/>
        </w:rPr>
        <w:t>Social skills</w:t>
      </w:r>
      <w:r w:rsidRPr="00B723C6">
        <w:rPr>
          <w:b/>
          <w:color w:val="000000"/>
          <w:lang w:val="en-GB" w:eastAsia="en-GB"/>
        </w:rPr>
        <w:t>,</w:t>
      </w:r>
      <w:r w:rsidRPr="00B723C6">
        <w:rPr>
          <w:color w:val="000000"/>
          <w:lang w:val="en-GB" w:eastAsia="en-GB"/>
        </w:rPr>
        <w:t xml:space="preserve"> such as overall behaviour, feelings about themselves, understanding others, solving problems, other people’s influence, following rules and obeying the law and </w:t>
      </w:r>
      <w:r w:rsidRPr="00B723C6">
        <w:rPr>
          <w:b/>
          <w:i/>
        </w:rPr>
        <w:t xml:space="preserve">Practical skills </w:t>
      </w:r>
      <w:r>
        <w:t xml:space="preserve">including </w:t>
      </w:r>
      <w:r w:rsidRPr="00B723C6">
        <w:t xml:space="preserve">managing home and personal care, managing money, using the telephone, getting  from place to place,  staying safe and healthy, following schedules and routines, and maintaining a work life. </w:t>
      </w:r>
      <w:r w:rsidRPr="00B723C6">
        <w:rPr>
          <w:color w:val="000000"/>
          <w:lang w:val="en-GB" w:eastAsia="en-GB"/>
        </w:rPr>
        <w:t>These limitations can take many forms and tend to occur across domains of functioning. Limitations in self-care skills and social relationships as well as behavioural excesses are common characteristics of individuals with intellectual disabilities</w:t>
      </w:r>
      <w:r w:rsidRPr="00B723C6">
        <w:rPr>
          <w:b/>
          <w:bCs/>
          <w:color w:val="000000"/>
          <w:lang w:val="en-GB" w:eastAsia="en-GB"/>
        </w:rPr>
        <w:t xml:space="preserve">. </w:t>
      </w:r>
      <w:r w:rsidRPr="00B723C6">
        <w:rPr>
          <w:color w:val="000000"/>
          <w:lang w:val="en-GB" w:eastAsia="en-GB"/>
        </w:rPr>
        <w:t>Individuals with intellectual disabilities who</w:t>
      </w:r>
      <w:r w:rsidRPr="00B723C6">
        <w:rPr>
          <w:b/>
          <w:bCs/>
          <w:color w:val="000000"/>
          <w:lang w:val="en-GB" w:eastAsia="en-GB"/>
        </w:rPr>
        <w:t xml:space="preserve"> </w:t>
      </w:r>
      <w:r w:rsidRPr="00B723C6">
        <w:rPr>
          <w:color w:val="000000"/>
          <w:lang w:val="en-GB" w:eastAsia="en-GB"/>
        </w:rPr>
        <w:t>require extensive support must often be taught basic self-care skills such as dressing,</w:t>
      </w:r>
      <w:r w:rsidRPr="00B723C6">
        <w:rPr>
          <w:b/>
          <w:bCs/>
          <w:color w:val="000000"/>
          <w:lang w:val="en-GB" w:eastAsia="en-GB"/>
        </w:rPr>
        <w:t xml:space="preserve"> </w:t>
      </w:r>
      <w:r w:rsidRPr="00B723C6">
        <w:rPr>
          <w:color w:val="000000"/>
          <w:lang w:val="en-GB" w:eastAsia="en-GB"/>
        </w:rPr>
        <w:t xml:space="preserve">eating, and hygiene. </w:t>
      </w:r>
    </w:p>
    <w:p w14:paraId="19236088" w14:textId="77777777" w:rsidR="00C164D7" w:rsidRPr="00B723C6" w:rsidRDefault="00C164D7" w:rsidP="00C164D7">
      <w:pPr>
        <w:autoSpaceDE w:val="0"/>
        <w:autoSpaceDN w:val="0"/>
        <w:adjustRightInd w:val="0"/>
        <w:jc w:val="both"/>
        <w:rPr>
          <w:color w:val="000000"/>
          <w:lang w:eastAsia="en-GB"/>
        </w:rPr>
      </w:pPr>
    </w:p>
    <w:p w14:paraId="7D3B127A" w14:textId="77777777" w:rsidR="00C164D7" w:rsidRDefault="00C164D7" w:rsidP="00C164D7">
      <w:pPr>
        <w:jc w:val="both"/>
        <w:rPr>
          <w:color w:val="000000"/>
          <w:shd w:val="clear" w:color="auto" w:fill="FFFFFF"/>
          <w:lang w:val="en-GB"/>
        </w:rPr>
      </w:pPr>
      <w:r>
        <w:rPr>
          <w:color w:val="000000"/>
          <w:lang w:val="en-GB" w:eastAsia="en-GB"/>
        </w:rPr>
        <w:t>[</w:t>
      </w:r>
      <w:r w:rsidRPr="00B723C6">
        <w:rPr>
          <w:color w:val="000000"/>
          <w:lang w:val="en-GB" w:eastAsia="en-GB"/>
        </w:rPr>
        <w:t xml:space="preserve">Adapted from: </w:t>
      </w:r>
      <w:proofErr w:type="spellStart"/>
      <w:r w:rsidRPr="00B723C6">
        <w:rPr>
          <w:color w:val="000000"/>
          <w:shd w:val="clear" w:color="auto" w:fill="FFFFFF"/>
          <w:lang w:val="en-GB"/>
        </w:rPr>
        <w:t>Heward</w:t>
      </w:r>
      <w:proofErr w:type="spellEnd"/>
      <w:r w:rsidRPr="00B723C6">
        <w:rPr>
          <w:color w:val="000000"/>
          <w:shd w:val="clear" w:color="auto" w:fill="FFFFFF"/>
          <w:lang w:val="en-GB"/>
        </w:rPr>
        <w:t>, W. L. (2013).</w:t>
      </w:r>
      <w:r w:rsidRPr="00B723C6">
        <w:rPr>
          <w:rStyle w:val="apple-converted-space"/>
          <w:color w:val="000000"/>
          <w:shd w:val="clear" w:color="auto" w:fill="FFFFFF"/>
          <w:lang w:val="en-GB"/>
        </w:rPr>
        <w:t> </w:t>
      </w:r>
      <w:r w:rsidRPr="00B723C6">
        <w:rPr>
          <w:i/>
          <w:iCs/>
          <w:color w:val="000000"/>
          <w:shd w:val="clear" w:color="auto" w:fill="FFFFFF"/>
          <w:lang w:val="en-GB"/>
        </w:rPr>
        <w:t>Exceptional children: An introduction to special education</w:t>
      </w:r>
      <w:r w:rsidRPr="00B723C6">
        <w:rPr>
          <w:color w:val="000000"/>
          <w:shd w:val="clear" w:color="auto" w:fill="FFFFFF"/>
          <w:lang w:val="en-GB"/>
        </w:rPr>
        <w:t>. Pearson College Div.</w:t>
      </w:r>
      <w:r>
        <w:rPr>
          <w:color w:val="000000"/>
          <w:shd w:val="clear" w:color="auto" w:fill="FFFFFF"/>
          <w:lang w:val="en-GB"/>
        </w:rPr>
        <w:t>]</w:t>
      </w:r>
    </w:p>
    <w:p w14:paraId="5E40C0B0" w14:textId="77777777" w:rsidR="00C164D7" w:rsidRDefault="00C164D7" w:rsidP="00C164D7">
      <w:pPr>
        <w:jc w:val="both"/>
        <w:rPr>
          <w:color w:val="000000"/>
          <w:shd w:val="clear" w:color="auto" w:fill="FFFFFF"/>
          <w:lang w:val="en-GB"/>
        </w:rPr>
      </w:pPr>
    </w:p>
    <w:p w14:paraId="752D0F34" w14:textId="77777777" w:rsidR="00C164D7" w:rsidRPr="00C164D7" w:rsidRDefault="00C164D7" w:rsidP="00C164D7">
      <w:pPr>
        <w:pStyle w:val="Heading3"/>
        <w:rPr>
          <w:b/>
        </w:rPr>
      </w:pPr>
      <w:r w:rsidRPr="00C164D7">
        <w:rPr>
          <w:b/>
        </w:rPr>
        <w:lastRenderedPageBreak/>
        <w:t>Websites &amp; EU Reports</w:t>
      </w:r>
    </w:p>
    <w:p w14:paraId="5CAD33FA" w14:textId="77777777" w:rsidR="00C164D7" w:rsidRPr="004D42D0" w:rsidRDefault="00C164D7" w:rsidP="00C164D7"/>
    <w:p w14:paraId="7BAFE1D9" w14:textId="77777777" w:rsidR="00C164D7" w:rsidRPr="002F752D" w:rsidRDefault="00C164D7" w:rsidP="00C164D7">
      <w:pPr>
        <w:jc w:val="both"/>
        <w:rPr>
          <w:lang w:val="en-GB"/>
        </w:rPr>
      </w:pPr>
      <w:hyperlink r:id="rId16" w:anchor=".WBD2LS197IU" w:history="1">
        <w:r w:rsidRPr="002F752D">
          <w:rPr>
            <w:rStyle w:val="Hyperlink"/>
            <w:lang w:val="en-GB"/>
          </w:rPr>
          <w:t>http://aaidd.org/intellectual-disability/definition#.WBD2LS197IU</w:t>
        </w:r>
      </w:hyperlink>
    </w:p>
    <w:p w14:paraId="25782E7B" w14:textId="77777777" w:rsidR="00C164D7" w:rsidRPr="004D42D0" w:rsidRDefault="00C164D7" w:rsidP="00C164D7">
      <w:pPr>
        <w:jc w:val="both"/>
        <w:rPr>
          <w:lang w:val="en-GB"/>
        </w:rPr>
      </w:pPr>
      <w:hyperlink r:id="rId17" w:history="1">
        <w:r w:rsidRPr="002F752D">
          <w:rPr>
            <w:rStyle w:val="Hyperlink"/>
            <w:lang w:val="en-GB"/>
          </w:rPr>
          <w:t>https://www.mentalhelp.net/articles/adaptive-behavior-life-skills/</w:t>
        </w:r>
      </w:hyperlink>
    </w:p>
    <w:p w14:paraId="0E9BE6D9" w14:textId="77777777" w:rsidR="00C164D7" w:rsidRDefault="00C164D7" w:rsidP="00C164D7">
      <w:pPr>
        <w:pStyle w:val="Heading4"/>
        <w:rPr>
          <w:lang w:val="en-GB" w:eastAsia="el-GR"/>
        </w:rPr>
      </w:pPr>
    </w:p>
    <w:p w14:paraId="0DF3D539" w14:textId="77777777" w:rsidR="00C164D7" w:rsidRDefault="00C164D7" w:rsidP="00C164D7">
      <w:pPr>
        <w:pStyle w:val="Heading4"/>
        <w:rPr>
          <w:sz w:val="28"/>
        </w:rPr>
      </w:pPr>
      <w:r w:rsidRPr="00E173C9">
        <w:rPr>
          <w:sz w:val="28"/>
        </w:rPr>
        <w:t>References</w:t>
      </w:r>
    </w:p>
    <w:p w14:paraId="5E479CA2" w14:textId="77777777" w:rsidR="00C164D7" w:rsidRPr="004D42D0" w:rsidRDefault="00C164D7" w:rsidP="00C164D7"/>
    <w:p w14:paraId="7C50E424" w14:textId="77777777" w:rsidR="00C164D7" w:rsidRDefault="00C164D7" w:rsidP="00C164D7">
      <w:pPr>
        <w:jc w:val="both"/>
        <w:rPr>
          <w:rFonts w:eastAsia="Times New Roman"/>
          <w:sz w:val="16"/>
          <w:lang w:val="en-GB" w:eastAsia="el-GR"/>
        </w:rPr>
      </w:pPr>
      <w:proofErr w:type="spellStart"/>
      <w:r w:rsidRPr="00B723C6">
        <w:rPr>
          <w:rFonts w:eastAsia="Times New Roman"/>
          <w:sz w:val="16"/>
          <w:lang w:val="en-GB" w:eastAsia="el-GR"/>
        </w:rPr>
        <w:t>Agran</w:t>
      </w:r>
      <w:proofErr w:type="spellEnd"/>
      <w:r w:rsidRPr="00B723C6">
        <w:rPr>
          <w:rFonts w:eastAsia="Times New Roman"/>
          <w:sz w:val="16"/>
          <w:lang w:val="en-GB" w:eastAsia="el-GR"/>
        </w:rPr>
        <w:t xml:space="preserve">, M., &amp; Hughes, C. (2006). Introduction to special issue: Self-determination re-examined: How far have we come? </w:t>
      </w:r>
      <w:r w:rsidRPr="00B723C6">
        <w:rPr>
          <w:rFonts w:eastAsia="Times New Roman"/>
          <w:i/>
          <w:iCs/>
          <w:sz w:val="16"/>
          <w:lang w:val="en-GB" w:eastAsia="el-GR"/>
        </w:rPr>
        <w:t>Research and Practice</w:t>
      </w:r>
      <w:r w:rsidRPr="00B723C6">
        <w:rPr>
          <w:rFonts w:eastAsia="Times New Roman"/>
          <w:sz w:val="16"/>
          <w:lang w:val="en-GB" w:eastAsia="el-GR"/>
        </w:rPr>
        <w:t xml:space="preserve"> </w:t>
      </w:r>
      <w:r w:rsidRPr="00B723C6">
        <w:rPr>
          <w:rFonts w:eastAsia="Times New Roman"/>
          <w:i/>
          <w:iCs/>
          <w:sz w:val="16"/>
          <w:lang w:val="en-GB" w:eastAsia="el-GR"/>
        </w:rPr>
        <w:t xml:space="preserve">for Persons with Severe Disabilities, 30, </w:t>
      </w:r>
      <w:r w:rsidRPr="00B723C6">
        <w:rPr>
          <w:rFonts w:eastAsia="Times New Roman"/>
          <w:sz w:val="16"/>
          <w:lang w:val="en-GB" w:eastAsia="el-GR"/>
        </w:rPr>
        <w:t>105–107.</w:t>
      </w:r>
    </w:p>
    <w:p w14:paraId="464D2B7E" w14:textId="77777777" w:rsidR="00C164D7" w:rsidRPr="00B723C6" w:rsidRDefault="00C164D7" w:rsidP="00C164D7">
      <w:pPr>
        <w:jc w:val="both"/>
        <w:rPr>
          <w:rFonts w:eastAsia="Times New Roman"/>
          <w:sz w:val="16"/>
          <w:lang w:val="en-GB" w:eastAsia="el-GR"/>
        </w:rPr>
      </w:pPr>
    </w:p>
    <w:p w14:paraId="198A68B4" w14:textId="77777777" w:rsidR="00C164D7" w:rsidRDefault="00C164D7" w:rsidP="00C164D7">
      <w:pPr>
        <w:jc w:val="both"/>
        <w:rPr>
          <w:rFonts w:eastAsia="Times New Roman"/>
          <w:sz w:val="16"/>
          <w:lang w:val="en-GB" w:eastAsia="el-GR"/>
        </w:rPr>
      </w:pPr>
      <w:proofErr w:type="spellStart"/>
      <w:r w:rsidRPr="00B723C6">
        <w:rPr>
          <w:rFonts w:eastAsia="Times New Roman"/>
          <w:sz w:val="16"/>
          <w:lang w:val="en-GB" w:eastAsia="el-GR"/>
        </w:rPr>
        <w:t>Agran</w:t>
      </w:r>
      <w:proofErr w:type="spellEnd"/>
      <w:r w:rsidRPr="00B723C6">
        <w:rPr>
          <w:rFonts w:eastAsia="Times New Roman"/>
          <w:sz w:val="16"/>
          <w:lang w:val="en-GB" w:eastAsia="el-GR"/>
        </w:rPr>
        <w:t xml:space="preserve">, M., Blanchard, C., </w:t>
      </w:r>
      <w:proofErr w:type="spellStart"/>
      <w:r w:rsidRPr="00B723C6">
        <w:rPr>
          <w:rFonts w:eastAsia="Times New Roman"/>
          <w:sz w:val="16"/>
          <w:lang w:val="en-GB" w:eastAsia="el-GR"/>
        </w:rPr>
        <w:t>Wehmeyer</w:t>
      </w:r>
      <w:proofErr w:type="spellEnd"/>
      <w:r w:rsidRPr="00B723C6">
        <w:rPr>
          <w:rFonts w:eastAsia="Times New Roman"/>
          <w:sz w:val="16"/>
          <w:lang w:val="en-GB" w:eastAsia="el-GR"/>
        </w:rPr>
        <w:t xml:space="preserve">, M., &amp; Hughes, C. (2002). Increasing problem-solving skills of students with developmental disabilities participating in general education. </w:t>
      </w:r>
      <w:r w:rsidRPr="00B723C6">
        <w:rPr>
          <w:rFonts w:eastAsia="Times New Roman"/>
          <w:i/>
          <w:iCs/>
          <w:sz w:val="16"/>
          <w:lang w:val="en-GB" w:eastAsia="el-GR"/>
        </w:rPr>
        <w:t>Remedial and</w:t>
      </w:r>
      <w:r w:rsidRPr="00B723C6">
        <w:rPr>
          <w:rFonts w:eastAsia="Times New Roman"/>
          <w:sz w:val="16"/>
          <w:lang w:val="en-GB" w:eastAsia="el-GR"/>
        </w:rPr>
        <w:t xml:space="preserve"> </w:t>
      </w:r>
      <w:r w:rsidRPr="00B723C6">
        <w:rPr>
          <w:rFonts w:eastAsia="Times New Roman"/>
          <w:i/>
          <w:iCs/>
          <w:sz w:val="16"/>
          <w:lang w:val="en-GB" w:eastAsia="el-GR"/>
        </w:rPr>
        <w:t xml:space="preserve">Special Education, 23, </w:t>
      </w:r>
      <w:r w:rsidRPr="00B723C6">
        <w:rPr>
          <w:rFonts w:eastAsia="Times New Roman"/>
          <w:sz w:val="16"/>
          <w:lang w:val="en-GB" w:eastAsia="el-GR"/>
        </w:rPr>
        <w:t>279–288.</w:t>
      </w:r>
    </w:p>
    <w:p w14:paraId="6DDF7264" w14:textId="77777777" w:rsidR="00C164D7" w:rsidRPr="00B723C6" w:rsidRDefault="00C164D7" w:rsidP="00C164D7">
      <w:pPr>
        <w:jc w:val="both"/>
        <w:rPr>
          <w:rFonts w:eastAsia="Times New Roman"/>
          <w:sz w:val="16"/>
          <w:lang w:val="en-GB" w:eastAsia="el-GR"/>
        </w:rPr>
      </w:pPr>
    </w:p>
    <w:p w14:paraId="30345E97" w14:textId="77777777" w:rsidR="00C164D7" w:rsidRDefault="00C164D7" w:rsidP="00C164D7">
      <w:pPr>
        <w:jc w:val="both"/>
        <w:rPr>
          <w:rFonts w:eastAsia="Times New Roman"/>
          <w:sz w:val="16"/>
          <w:lang w:val="en-GB" w:eastAsia="el-GR"/>
        </w:rPr>
      </w:pPr>
      <w:proofErr w:type="spellStart"/>
      <w:r w:rsidRPr="00B723C6">
        <w:rPr>
          <w:rFonts w:eastAsia="Times New Roman"/>
          <w:sz w:val="16"/>
          <w:lang w:val="en-GB" w:eastAsia="el-GR"/>
        </w:rPr>
        <w:t>Agran</w:t>
      </w:r>
      <w:proofErr w:type="spellEnd"/>
      <w:r w:rsidRPr="00B723C6">
        <w:rPr>
          <w:rFonts w:eastAsia="Times New Roman"/>
          <w:sz w:val="16"/>
          <w:lang w:val="en-GB" w:eastAsia="el-GR"/>
        </w:rPr>
        <w:t xml:space="preserve">, M., King-Sears, M., </w:t>
      </w:r>
      <w:proofErr w:type="spellStart"/>
      <w:r w:rsidRPr="00B723C6">
        <w:rPr>
          <w:rFonts w:eastAsia="Times New Roman"/>
          <w:sz w:val="16"/>
          <w:lang w:val="en-GB" w:eastAsia="el-GR"/>
        </w:rPr>
        <w:t>Wehmeyer</w:t>
      </w:r>
      <w:proofErr w:type="spellEnd"/>
      <w:r w:rsidRPr="00B723C6">
        <w:rPr>
          <w:rFonts w:eastAsia="Times New Roman"/>
          <w:sz w:val="16"/>
          <w:lang w:val="en-GB" w:eastAsia="el-GR"/>
        </w:rPr>
        <w:t xml:space="preserve">, M. L., &amp; Copeland, S. R. (2003). </w:t>
      </w:r>
      <w:r w:rsidRPr="00B723C6">
        <w:rPr>
          <w:rFonts w:eastAsia="Times New Roman"/>
          <w:i/>
          <w:iCs/>
          <w:sz w:val="16"/>
          <w:lang w:val="en-GB" w:eastAsia="el-GR"/>
        </w:rPr>
        <w:t xml:space="preserve">Teachers’ </w:t>
      </w:r>
      <w:proofErr w:type="gramStart"/>
      <w:r w:rsidRPr="00B723C6">
        <w:rPr>
          <w:rFonts w:eastAsia="Times New Roman"/>
          <w:i/>
          <w:iCs/>
          <w:sz w:val="16"/>
          <w:lang w:val="en-GB" w:eastAsia="el-GR"/>
        </w:rPr>
        <w:t>guides</w:t>
      </w:r>
      <w:proofErr w:type="gramEnd"/>
      <w:r w:rsidRPr="00B723C6">
        <w:rPr>
          <w:rFonts w:eastAsia="Times New Roman"/>
          <w:i/>
          <w:iCs/>
          <w:sz w:val="16"/>
          <w:lang w:val="en-GB" w:eastAsia="el-GR"/>
        </w:rPr>
        <w:t xml:space="preserve"> </w:t>
      </w:r>
      <w:proofErr w:type="spellStart"/>
      <w:r w:rsidRPr="00B723C6">
        <w:rPr>
          <w:rFonts w:eastAsia="Times New Roman"/>
          <w:i/>
          <w:iCs/>
          <w:sz w:val="16"/>
          <w:lang w:val="en-GB" w:eastAsia="el-GR"/>
        </w:rPr>
        <w:t>toinclusive</w:t>
      </w:r>
      <w:proofErr w:type="spellEnd"/>
      <w:r w:rsidRPr="00B723C6">
        <w:rPr>
          <w:rFonts w:eastAsia="Times New Roman"/>
          <w:i/>
          <w:iCs/>
          <w:sz w:val="16"/>
          <w:lang w:val="en-GB" w:eastAsia="el-GR"/>
        </w:rPr>
        <w:t xml:space="preserve"> practices: Student-directed learning</w:t>
      </w:r>
      <w:r w:rsidRPr="00B723C6">
        <w:rPr>
          <w:rFonts w:eastAsia="Times New Roman"/>
          <w:sz w:val="16"/>
          <w:lang w:val="en-GB" w:eastAsia="el-GR"/>
        </w:rPr>
        <w:t xml:space="preserve"> </w:t>
      </w:r>
      <w:r w:rsidRPr="00B723C6">
        <w:rPr>
          <w:rFonts w:eastAsia="Times New Roman"/>
          <w:i/>
          <w:iCs/>
          <w:sz w:val="16"/>
          <w:lang w:val="en-GB" w:eastAsia="el-GR"/>
        </w:rPr>
        <w:t>strategies</w:t>
      </w:r>
      <w:r w:rsidRPr="00B723C6">
        <w:rPr>
          <w:rFonts w:eastAsia="Times New Roman"/>
          <w:sz w:val="16"/>
          <w:lang w:val="en-GB" w:eastAsia="el-GR"/>
        </w:rPr>
        <w:t>. Baltimore: Brookes.</w:t>
      </w:r>
    </w:p>
    <w:p w14:paraId="641D8EDC" w14:textId="77777777" w:rsidR="00C164D7" w:rsidRPr="00B723C6" w:rsidRDefault="00C164D7" w:rsidP="00C164D7">
      <w:pPr>
        <w:jc w:val="both"/>
        <w:rPr>
          <w:rFonts w:eastAsia="Times New Roman"/>
          <w:sz w:val="16"/>
          <w:lang w:val="en-GB" w:eastAsia="el-GR"/>
        </w:rPr>
      </w:pPr>
    </w:p>
    <w:p w14:paraId="5CFE7D1D" w14:textId="77777777" w:rsidR="00C164D7" w:rsidRDefault="00C164D7" w:rsidP="00C164D7">
      <w:pPr>
        <w:jc w:val="both"/>
        <w:rPr>
          <w:color w:val="222222"/>
          <w:sz w:val="16"/>
          <w:shd w:val="clear" w:color="auto" w:fill="FFFFFF"/>
          <w:lang w:val="en-GB"/>
        </w:rPr>
      </w:pPr>
      <w:proofErr w:type="spellStart"/>
      <w:r w:rsidRPr="00B723C6">
        <w:rPr>
          <w:color w:val="222222"/>
          <w:sz w:val="16"/>
          <w:shd w:val="clear" w:color="auto" w:fill="FFFFFF"/>
          <w:lang w:val="en-GB"/>
        </w:rPr>
        <w:t>Cannella</w:t>
      </w:r>
      <w:proofErr w:type="spellEnd"/>
      <w:r w:rsidRPr="00B723C6">
        <w:rPr>
          <w:color w:val="222222"/>
          <w:sz w:val="16"/>
          <w:shd w:val="clear" w:color="auto" w:fill="FFFFFF"/>
          <w:lang w:val="en-GB"/>
        </w:rPr>
        <w:t xml:space="preserve">-Malone, H. I., Fleming, C., Chung, Y. C., Wheeler, G. M., </w:t>
      </w:r>
      <w:proofErr w:type="spellStart"/>
      <w:r w:rsidRPr="00B723C6">
        <w:rPr>
          <w:color w:val="222222"/>
          <w:sz w:val="16"/>
          <w:shd w:val="clear" w:color="auto" w:fill="FFFFFF"/>
          <w:lang w:val="en-GB"/>
        </w:rPr>
        <w:t>Basbagill</w:t>
      </w:r>
      <w:proofErr w:type="spellEnd"/>
      <w:r w:rsidRPr="00B723C6">
        <w:rPr>
          <w:color w:val="222222"/>
          <w:sz w:val="16"/>
          <w:shd w:val="clear" w:color="auto" w:fill="FFFFFF"/>
          <w:lang w:val="en-GB"/>
        </w:rPr>
        <w:t xml:space="preserve">, A. R., &amp; Singh, A. H. (2011). Teaching daily living skills to seven individuals with severe intellectual disabilities: A comparison of video prompting to video </w:t>
      </w:r>
      <w:proofErr w:type="spellStart"/>
      <w:r w:rsidRPr="00B723C6">
        <w:rPr>
          <w:color w:val="222222"/>
          <w:sz w:val="16"/>
          <w:shd w:val="clear" w:color="auto" w:fill="FFFFFF"/>
          <w:lang w:val="en-GB"/>
        </w:rPr>
        <w:t>modeling</w:t>
      </w:r>
      <w:proofErr w:type="spellEnd"/>
      <w:r w:rsidRPr="00B723C6">
        <w:rPr>
          <w:color w:val="222222"/>
          <w:sz w:val="16"/>
          <w:shd w:val="clear" w:color="auto" w:fill="FFFFFF"/>
          <w:lang w:val="en-GB"/>
        </w:rPr>
        <w:t>.</w:t>
      </w:r>
      <w:r w:rsidRPr="00B723C6">
        <w:rPr>
          <w:rStyle w:val="apple-converted-space"/>
          <w:color w:val="222222"/>
          <w:sz w:val="16"/>
          <w:shd w:val="clear" w:color="auto" w:fill="FFFFFF"/>
          <w:lang w:val="en-GB"/>
        </w:rPr>
        <w:t> </w:t>
      </w:r>
      <w:r w:rsidRPr="00B723C6">
        <w:rPr>
          <w:i/>
          <w:iCs/>
          <w:color w:val="222222"/>
          <w:sz w:val="16"/>
          <w:shd w:val="clear" w:color="auto" w:fill="FFFFFF"/>
          <w:lang w:val="en-GB"/>
        </w:rPr>
        <w:t xml:space="preserve">Journal of Positive </w:t>
      </w:r>
      <w:proofErr w:type="spellStart"/>
      <w:r w:rsidRPr="00B723C6">
        <w:rPr>
          <w:i/>
          <w:iCs/>
          <w:color w:val="222222"/>
          <w:sz w:val="16"/>
          <w:shd w:val="clear" w:color="auto" w:fill="FFFFFF"/>
          <w:lang w:val="en-GB"/>
        </w:rPr>
        <w:t>Behavior</w:t>
      </w:r>
      <w:proofErr w:type="spellEnd"/>
      <w:r w:rsidRPr="00B723C6">
        <w:rPr>
          <w:i/>
          <w:iCs/>
          <w:color w:val="222222"/>
          <w:sz w:val="16"/>
          <w:shd w:val="clear" w:color="auto" w:fill="FFFFFF"/>
          <w:lang w:val="en-GB"/>
        </w:rPr>
        <w:t xml:space="preserve"> Interventions</w:t>
      </w:r>
      <w:r w:rsidRPr="00B723C6">
        <w:rPr>
          <w:color w:val="222222"/>
          <w:sz w:val="16"/>
          <w:shd w:val="clear" w:color="auto" w:fill="FFFFFF"/>
          <w:lang w:val="en-GB"/>
        </w:rPr>
        <w:t>, 1098300710366593.</w:t>
      </w:r>
    </w:p>
    <w:p w14:paraId="2A12B0A8" w14:textId="77777777" w:rsidR="00C164D7" w:rsidRPr="00B723C6" w:rsidRDefault="00C164D7" w:rsidP="00C164D7">
      <w:pPr>
        <w:jc w:val="both"/>
        <w:rPr>
          <w:rFonts w:eastAsia="Times New Roman"/>
          <w:color w:val="FF0000"/>
          <w:sz w:val="16"/>
          <w:lang w:val="en-GB" w:eastAsia="el-GR"/>
        </w:rPr>
      </w:pPr>
    </w:p>
    <w:p w14:paraId="2A0FDED2" w14:textId="77777777" w:rsidR="00C164D7" w:rsidRDefault="00C164D7" w:rsidP="00C164D7">
      <w:pPr>
        <w:jc w:val="both"/>
        <w:rPr>
          <w:rFonts w:eastAsia="Times New Roman"/>
          <w:sz w:val="16"/>
          <w:lang w:val="en-GB" w:eastAsia="el-GR"/>
        </w:rPr>
      </w:pPr>
      <w:r w:rsidRPr="00B723C6">
        <w:rPr>
          <w:rFonts w:eastAsia="Times New Roman"/>
          <w:sz w:val="16"/>
          <w:lang w:val="en-GB" w:eastAsia="el-GR"/>
        </w:rPr>
        <w:t xml:space="preserve">Chambers, C. R., </w:t>
      </w:r>
      <w:proofErr w:type="spellStart"/>
      <w:r w:rsidRPr="00B723C6">
        <w:rPr>
          <w:rFonts w:eastAsia="Times New Roman"/>
          <w:sz w:val="16"/>
          <w:lang w:val="en-GB" w:eastAsia="el-GR"/>
        </w:rPr>
        <w:t>Wehmeyer</w:t>
      </w:r>
      <w:proofErr w:type="spellEnd"/>
      <w:r w:rsidRPr="00B723C6">
        <w:rPr>
          <w:rFonts w:eastAsia="Times New Roman"/>
          <w:sz w:val="16"/>
          <w:lang w:val="en-GB" w:eastAsia="el-GR"/>
        </w:rPr>
        <w:t xml:space="preserve">, M L., Saito, Y., </w:t>
      </w:r>
      <w:proofErr w:type="spellStart"/>
      <w:r w:rsidRPr="00B723C6">
        <w:rPr>
          <w:rFonts w:eastAsia="Times New Roman"/>
          <w:sz w:val="16"/>
          <w:lang w:val="en-GB" w:eastAsia="el-GR"/>
        </w:rPr>
        <w:t>Lida</w:t>
      </w:r>
      <w:proofErr w:type="spellEnd"/>
      <w:r w:rsidRPr="00B723C6">
        <w:rPr>
          <w:rFonts w:eastAsia="Times New Roman"/>
          <w:sz w:val="16"/>
          <w:lang w:val="en-GB" w:eastAsia="el-GR"/>
        </w:rPr>
        <w:t xml:space="preserve">, K. M., Lee, Y., &amp; Singh, V. (2007). Self-determination: What do we know? Where do we go? </w:t>
      </w:r>
      <w:r w:rsidRPr="00B723C6">
        <w:rPr>
          <w:rFonts w:eastAsia="Times New Roman"/>
          <w:i/>
          <w:iCs/>
          <w:sz w:val="16"/>
          <w:lang w:val="en-GB" w:eastAsia="el-GR"/>
        </w:rPr>
        <w:t xml:space="preserve">Exceptionality, 15, </w:t>
      </w:r>
      <w:r w:rsidRPr="00B723C6">
        <w:rPr>
          <w:rFonts w:eastAsia="Times New Roman"/>
          <w:sz w:val="16"/>
          <w:lang w:val="en-GB" w:eastAsia="el-GR"/>
        </w:rPr>
        <w:t>3–15.</w:t>
      </w:r>
    </w:p>
    <w:p w14:paraId="3DE3E433" w14:textId="77777777" w:rsidR="00C164D7" w:rsidRPr="00B723C6" w:rsidRDefault="00C164D7" w:rsidP="00C164D7">
      <w:pPr>
        <w:jc w:val="both"/>
        <w:rPr>
          <w:rFonts w:eastAsia="Times New Roman"/>
          <w:sz w:val="16"/>
          <w:lang w:val="en-GB" w:eastAsia="el-GR"/>
        </w:rPr>
      </w:pPr>
    </w:p>
    <w:p w14:paraId="6AB63E0F" w14:textId="77777777" w:rsidR="00C164D7" w:rsidRDefault="00C164D7" w:rsidP="00C164D7">
      <w:pPr>
        <w:autoSpaceDE w:val="0"/>
        <w:autoSpaceDN w:val="0"/>
        <w:adjustRightInd w:val="0"/>
        <w:jc w:val="both"/>
        <w:rPr>
          <w:iCs/>
          <w:sz w:val="16"/>
          <w:lang w:val="en-GB"/>
        </w:rPr>
      </w:pPr>
      <w:proofErr w:type="spellStart"/>
      <w:r w:rsidRPr="00B723C6">
        <w:rPr>
          <w:iCs/>
          <w:sz w:val="16"/>
          <w:lang w:val="en-GB"/>
        </w:rPr>
        <w:t>Grossi</w:t>
      </w:r>
      <w:proofErr w:type="spellEnd"/>
      <w:r w:rsidRPr="00B723C6">
        <w:rPr>
          <w:iCs/>
          <w:sz w:val="16"/>
          <w:lang w:val="en-GB"/>
        </w:rPr>
        <w:t xml:space="preserve">, T. A. (1998). Using a self-operated auditory prompting system to improve the work performance of two employees with severe disabilities. </w:t>
      </w:r>
      <w:r w:rsidRPr="00B723C6">
        <w:rPr>
          <w:i/>
          <w:iCs/>
          <w:sz w:val="16"/>
          <w:lang w:val="en-GB"/>
        </w:rPr>
        <w:t>Journal of the Association for</w:t>
      </w:r>
      <w:r w:rsidRPr="00B723C6">
        <w:rPr>
          <w:iCs/>
          <w:sz w:val="16"/>
          <w:lang w:val="en-GB"/>
        </w:rPr>
        <w:t xml:space="preserve"> </w:t>
      </w:r>
      <w:r w:rsidRPr="00B723C6">
        <w:rPr>
          <w:i/>
          <w:iCs/>
          <w:sz w:val="16"/>
          <w:lang w:val="en-GB"/>
        </w:rPr>
        <w:t xml:space="preserve">Persons with Severe Handicaps, 23, </w:t>
      </w:r>
      <w:r w:rsidRPr="00B723C6">
        <w:rPr>
          <w:iCs/>
          <w:sz w:val="16"/>
          <w:lang w:val="en-GB"/>
        </w:rPr>
        <w:t>149–154.</w:t>
      </w:r>
    </w:p>
    <w:p w14:paraId="6C77B4DD" w14:textId="77777777" w:rsidR="00C164D7" w:rsidRPr="00B723C6" w:rsidRDefault="00C164D7" w:rsidP="00C164D7">
      <w:pPr>
        <w:autoSpaceDE w:val="0"/>
        <w:autoSpaceDN w:val="0"/>
        <w:adjustRightInd w:val="0"/>
        <w:jc w:val="both"/>
        <w:rPr>
          <w:iCs/>
          <w:sz w:val="16"/>
          <w:lang w:val="en-GB"/>
        </w:rPr>
      </w:pPr>
    </w:p>
    <w:p w14:paraId="4762864F" w14:textId="77777777" w:rsidR="00C164D7" w:rsidRDefault="00C164D7" w:rsidP="00C164D7">
      <w:pPr>
        <w:jc w:val="both"/>
        <w:rPr>
          <w:rFonts w:eastAsia="Times New Roman"/>
          <w:sz w:val="16"/>
          <w:lang w:eastAsia="el-GR"/>
        </w:rPr>
      </w:pPr>
      <w:proofErr w:type="spellStart"/>
      <w:r w:rsidRPr="00B723C6">
        <w:rPr>
          <w:rFonts w:eastAsia="Times New Roman"/>
          <w:sz w:val="16"/>
          <w:lang w:eastAsia="el-GR"/>
        </w:rPr>
        <w:t>Hoppey</w:t>
      </w:r>
      <w:proofErr w:type="spellEnd"/>
      <w:r w:rsidRPr="00B723C6">
        <w:rPr>
          <w:rFonts w:eastAsia="Times New Roman"/>
          <w:sz w:val="16"/>
          <w:lang w:eastAsia="el-GR"/>
        </w:rPr>
        <w:t xml:space="preserve">, D., &amp; </w:t>
      </w:r>
      <w:proofErr w:type="spellStart"/>
      <w:r w:rsidRPr="00B723C6">
        <w:rPr>
          <w:rFonts w:eastAsia="Times New Roman"/>
          <w:sz w:val="16"/>
          <w:lang w:eastAsia="el-GR"/>
        </w:rPr>
        <w:t>McLeskey</w:t>
      </w:r>
      <w:proofErr w:type="spellEnd"/>
      <w:r w:rsidRPr="00B723C6">
        <w:rPr>
          <w:rFonts w:eastAsia="Times New Roman"/>
          <w:sz w:val="16"/>
          <w:lang w:eastAsia="el-GR"/>
        </w:rPr>
        <w:t xml:space="preserve">, J. (2013). A case study of principal leadership in an effective inclusive school. </w:t>
      </w:r>
      <w:r w:rsidRPr="00B723C6">
        <w:rPr>
          <w:rFonts w:eastAsia="Times New Roman"/>
          <w:i/>
          <w:iCs/>
          <w:sz w:val="16"/>
          <w:lang w:eastAsia="el-GR"/>
        </w:rPr>
        <w:t>The Journal of Special Education</w:t>
      </w:r>
      <w:r w:rsidRPr="00B723C6">
        <w:rPr>
          <w:rFonts w:eastAsia="Times New Roman"/>
          <w:sz w:val="16"/>
          <w:lang w:eastAsia="el-GR"/>
        </w:rPr>
        <w:t xml:space="preserve">, </w:t>
      </w:r>
      <w:r w:rsidRPr="00B723C6">
        <w:rPr>
          <w:rFonts w:eastAsia="Times New Roman"/>
          <w:i/>
          <w:iCs/>
          <w:sz w:val="16"/>
          <w:lang w:eastAsia="el-GR"/>
        </w:rPr>
        <w:t>46</w:t>
      </w:r>
      <w:r w:rsidRPr="00B723C6">
        <w:rPr>
          <w:rFonts w:eastAsia="Times New Roman"/>
          <w:sz w:val="16"/>
          <w:lang w:eastAsia="el-GR"/>
        </w:rPr>
        <w:t>(4), 245-256</w:t>
      </w:r>
    </w:p>
    <w:p w14:paraId="29C760A3" w14:textId="77777777" w:rsidR="00C164D7" w:rsidRPr="00B723C6" w:rsidRDefault="00C164D7" w:rsidP="00C164D7">
      <w:pPr>
        <w:jc w:val="both"/>
        <w:rPr>
          <w:rFonts w:eastAsia="Times New Roman"/>
          <w:sz w:val="16"/>
          <w:lang w:eastAsia="el-GR"/>
        </w:rPr>
      </w:pPr>
    </w:p>
    <w:p w14:paraId="60D3222F" w14:textId="77777777" w:rsidR="00C164D7" w:rsidRDefault="00C164D7" w:rsidP="00C164D7">
      <w:pPr>
        <w:autoSpaceDE w:val="0"/>
        <w:autoSpaceDN w:val="0"/>
        <w:adjustRightInd w:val="0"/>
        <w:jc w:val="both"/>
        <w:rPr>
          <w:iCs/>
          <w:sz w:val="16"/>
          <w:lang w:val="en-GB"/>
        </w:rPr>
      </w:pPr>
      <w:proofErr w:type="spellStart"/>
      <w:r w:rsidRPr="00B723C6">
        <w:rPr>
          <w:iCs/>
          <w:sz w:val="16"/>
          <w:lang w:val="en-GB"/>
        </w:rPr>
        <w:t>Mithaug</w:t>
      </w:r>
      <w:proofErr w:type="spellEnd"/>
      <w:r w:rsidRPr="00B723C6">
        <w:rPr>
          <w:iCs/>
          <w:sz w:val="16"/>
          <w:lang w:val="en-GB"/>
        </w:rPr>
        <w:t xml:space="preserve">, D. K., &amp; </w:t>
      </w:r>
      <w:proofErr w:type="spellStart"/>
      <w:r w:rsidRPr="00B723C6">
        <w:rPr>
          <w:iCs/>
          <w:sz w:val="16"/>
          <w:lang w:val="en-GB"/>
        </w:rPr>
        <w:t>Mithaug</w:t>
      </w:r>
      <w:proofErr w:type="spellEnd"/>
      <w:r w:rsidRPr="00B723C6">
        <w:rPr>
          <w:iCs/>
          <w:sz w:val="16"/>
          <w:lang w:val="en-GB"/>
        </w:rPr>
        <w:t xml:space="preserve">, D. E. (2003). Effects of teacher-directed versus student-directed instruction on self-management of young children with disabilities. </w:t>
      </w:r>
      <w:r w:rsidRPr="00B723C6">
        <w:rPr>
          <w:i/>
          <w:iCs/>
          <w:sz w:val="16"/>
          <w:lang w:val="en-GB"/>
        </w:rPr>
        <w:t xml:space="preserve">Journal of Applied </w:t>
      </w:r>
      <w:proofErr w:type="spellStart"/>
      <w:r w:rsidRPr="00B723C6">
        <w:rPr>
          <w:i/>
          <w:iCs/>
          <w:sz w:val="16"/>
          <w:lang w:val="en-GB"/>
        </w:rPr>
        <w:t>Behavior</w:t>
      </w:r>
      <w:proofErr w:type="spellEnd"/>
      <w:r w:rsidRPr="00B723C6">
        <w:rPr>
          <w:i/>
          <w:iCs/>
          <w:sz w:val="16"/>
          <w:lang w:val="en-GB"/>
        </w:rPr>
        <w:t xml:space="preserve"> Analysis</w:t>
      </w:r>
      <w:r w:rsidRPr="00B723C6">
        <w:rPr>
          <w:iCs/>
          <w:sz w:val="16"/>
          <w:lang w:val="en-GB"/>
        </w:rPr>
        <w:t>, 36(1)</w:t>
      </w:r>
    </w:p>
    <w:p w14:paraId="1ED33E2B" w14:textId="77777777" w:rsidR="00C164D7" w:rsidRPr="00B723C6" w:rsidRDefault="00C164D7" w:rsidP="00C164D7">
      <w:pPr>
        <w:autoSpaceDE w:val="0"/>
        <w:autoSpaceDN w:val="0"/>
        <w:adjustRightInd w:val="0"/>
        <w:jc w:val="both"/>
        <w:rPr>
          <w:iCs/>
          <w:sz w:val="16"/>
          <w:lang w:val="en-GB"/>
        </w:rPr>
      </w:pPr>
    </w:p>
    <w:p w14:paraId="2904A9FA" w14:textId="77777777" w:rsidR="00C164D7" w:rsidRDefault="00C164D7" w:rsidP="00C164D7">
      <w:pPr>
        <w:jc w:val="both"/>
        <w:rPr>
          <w:color w:val="222222"/>
          <w:sz w:val="16"/>
          <w:shd w:val="clear" w:color="auto" w:fill="FFFFFF"/>
          <w:lang w:val="en-GB"/>
        </w:rPr>
      </w:pPr>
      <w:r w:rsidRPr="00B723C6">
        <w:rPr>
          <w:color w:val="222222"/>
          <w:sz w:val="16"/>
          <w:shd w:val="clear" w:color="auto" w:fill="FFFFFF"/>
          <w:lang w:val="en-GB"/>
        </w:rPr>
        <w:t xml:space="preserve">Taber-Doughty, T., </w:t>
      </w:r>
      <w:proofErr w:type="spellStart"/>
      <w:r w:rsidRPr="00B723C6">
        <w:rPr>
          <w:color w:val="222222"/>
          <w:sz w:val="16"/>
          <w:shd w:val="clear" w:color="auto" w:fill="FFFFFF"/>
          <w:lang w:val="en-GB"/>
        </w:rPr>
        <w:t>Bouck</w:t>
      </w:r>
      <w:proofErr w:type="spellEnd"/>
      <w:r w:rsidRPr="00B723C6">
        <w:rPr>
          <w:color w:val="222222"/>
          <w:sz w:val="16"/>
          <w:shd w:val="clear" w:color="auto" w:fill="FFFFFF"/>
          <w:lang w:val="en-GB"/>
        </w:rPr>
        <w:t xml:space="preserve">, E. C., Tom, K., Jasper, A. D., Flanagan, S. M., &amp; </w:t>
      </w:r>
      <w:proofErr w:type="spellStart"/>
      <w:r w:rsidRPr="00B723C6">
        <w:rPr>
          <w:color w:val="222222"/>
          <w:sz w:val="16"/>
          <w:shd w:val="clear" w:color="auto" w:fill="FFFFFF"/>
          <w:lang w:val="en-GB"/>
        </w:rPr>
        <w:t>Bassette</w:t>
      </w:r>
      <w:proofErr w:type="spellEnd"/>
      <w:r w:rsidRPr="00B723C6">
        <w:rPr>
          <w:color w:val="222222"/>
          <w:sz w:val="16"/>
          <w:shd w:val="clear" w:color="auto" w:fill="FFFFFF"/>
          <w:lang w:val="en-GB"/>
        </w:rPr>
        <w:t xml:space="preserve">, L. (2011). Video </w:t>
      </w:r>
      <w:proofErr w:type="spellStart"/>
      <w:r w:rsidRPr="00B723C6">
        <w:rPr>
          <w:color w:val="222222"/>
          <w:sz w:val="16"/>
          <w:shd w:val="clear" w:color="auto" w:fill="FFFFFF"/>
          <w:lang w:val="en-GB"/>
        </w:rPr>
        <w:t>modeling</w:t>
      </w:r>
      <w:proofErr w:type="spellEnd"/>
      <w:r w:rsidRPr="00B723C6">
        <w:rPr>
          <w:color w:val="222222"/>
          <w:sz w:val="16"/>
          <w:shd w:val="clear" w:color="auto" w:fill="FFFFFF"/>
          <w:lang w:val="en-GB"/>
        </w:rPr>
        <w:t xml:space="preserve"> and prompting: A comparison of two strategies for teaching cooking skills to students with mild intellectual disabilities.</w:t>
      </w:r>
      <w:r w:rsidRPr="00B723C6">
        <w:rPr>
          <w:rStyle w:val="apple-converted-space"/>
          <w:color w:val="222222"/>
          <w:sz w:val="16"/>
          <w:shd w:val="clear" w:color="auto" w:fill="FFFFFF"/>
          <w:lang w:val="en-GB"/>
        </w:rPr>
        <w:t> </w:t>
      </w:r>
      <w:r w:rsidRPr="00B723C6">
        <w:rPr>
          <w:i/>
          <w:iCs/>
          <w:color w:val="222222"/>
          <w:sz w:val="16"/>
          <w:shd w:val="clear" w:color="auto" w:fill="FFFFFF"/>
          <w:lang w:val="en-GB"/>
        </w:rPr>
        <w:t>Education and Training in Autism and Developmental Disabilities</w:t>
      </w:r>
      <w:r w:rsidRPr="00B723C6">
        <w:rPr>
          <w:color w:val="222222"/>
          <w:sz w:val="16"/>
          <w:shd w:val="clear" w:color="auto" w:fill="FFFFFF"/>
          <w:lang w:val="en-GB"/>
        </w:rPr>
        <w:t>, 499-513.</w:t>
      </w:r>
    </w:p>
    <w:p w14:paraId="32F991B2" w14:textId="77777777" w:rsidR="00C164D7" w:rsidRPr="00B723C6" w:rsidRDefault="00C164D7" w:rsidP="00C164D7">
      <w:pPr>
        <w:jc w:val="both"/>
        <w:rPr>
          <w:rFonts w:eastAsia="Times New Roman"/>
          <w:color w:val="FF0000"/>
          <w:sz w:val="16"/>
          <w:lang w:val="en-GB" w:eastAsia="el-GR"/>
        </w:rPr>
      </w:pPr>
    </w:p>
    <w:p w14:paraId="2B572425" w14:textId="77777777" w:rsidR="00C164D7" w:rsidRDefault="00C164D7" w:rsidP="00C164D7">
      <w:pPr>
        <w:jc w:val="both"/>
        <w:rPr>
          <w:rFonts w:eastAsia="Times New Roman"/>
          <w:sz w:val="16"/>
          <w:lang w:val="en-GB" w:eastAsia="el-GR"/>
        </w:rPr>
      </w:pPr>
      <w:proofErr w:type="spellStart"/>
      <w:r w:rsidRPr="00B723C6">
        <w:rPr>
          <w:rFonts w:eastAsia="Times New Roman"/>
          <w:sz w:val="16"/>
          <w:lang w:val="en-GB" w:eastAsia="el-GR"/>
        </w:rPr>
        <w:t>Wehmeyer</w:t>
      </w:r>
      <w:proofErr w:type="spellEnd"/>
      <w:r w:rsidRPr="00B723C6">
        <w:rPr>
          <w:rFonts w:eastAsia="Times New Roman"/>
          <w:sz w:val="16"/>
          <w:lang w:val="en-GB" w:eastAsia="el-GR"/>
        </w:rPr>
        <w:t xml:space="preserve">, M. L. (2006). Self-determination and individuals with severe disabilities: </w:t>
      </w:r>
      <w:proofErr w:type="spellStart"/>
      <w:r w:rsidRPr="00B723C6">
        <w:rPr>
          <w:rFonts w:eastAsia="Times New Roman"/>
          <w:sz w:val="16"/>
          <w:lang w:val="en-GB" w:eastAsia="el-GR"/>
        </w:rPr>
        <w:t>Reexamining</w:t>
      </w:r>
      <w:proofErr w:type="spellEnd"/>
      <w:r w:rsidRPr="00B723C6">
        <w:rPr>
          <w:rFonts w:eastAsia="Times New Roman"/>
          <w:sz w:val="16"/>
          <w:lang w:val="en-GB" w:eastAsia="el-GR"/>
        </w:rPr>
        <w:t xml:space="preserve"> meanings and misinterpretations. </w:t>
      </w:r>
      <w:r w:rsidRPr="00B723C6">
        <w:rPr>
          <w:rFonts w:eastAsia="Times New Roman"/>
          <w:i/>
          <w:iCs/>
          <w:sz w:val="16"/>
          <w:lang w:val="en-GB" w:eastAsia="el-GR"/>
        </w:rPr>
        <w:t>Research and</w:t>
      </w:r>
      <w:r w:rsidRPr="00B723C6">
        <w:rPr>
          <w:rFonts w:eastAsia="Times New Roman"/>
          <w:sz w:val="16"/>
          <w:lang w:val="en-GB" w:eastAsia="el-GR"/>
        </w:rPr>
        <w:t xml:space="preserve"> </w:t>
      </w:r>
      <w:r w:rsidRPr="00B723C6">
        <w:rPr>
          <w:rFonts w:eastAsia="Times New Roman"/>
          <w:i/>
          <w:iCs/>
          <w:sz w:val="16"/>
          <w:lang w:val="en-GB" w:eastAsia="el-GR"/>
        </w:rPr>
        <w:t xml:space="preserve">Practice in Severe Disabilities, </w:t>
      </w:r>
      <w:proofErr w:type="gramStart"/>
      <w:r w:rsidRPr="00B723C6">
        <w:rPr>
          <w:rFonts w:eastAsia="Times New Roman"/>
          <w:i/>
          <w:iCs/>
          <w:sz w:val="16"/>
          <w:lang w:val="en-GB" w:eastAsia="el-GR"/>
        </w:rPr>
        <w:t xml:space="preserve">30 </w:t>
      </w:r>
      <w:r w:rsidRPr="00B723C6">
        <w:rPr>
          <w:rFonts w:eastAsia="Times New Roman"/>
          <w:sz w:val="16"/>
          <w:lang w:val="en-GB" w:eastAsia="el-GR"/>
        </w:rPr>
        <w:t>,</w:t>
      </w:r>
      <w:proofErr w:type="gramEnd"/>
      <w:r w:rsidRPr="00B723C6">
        <w:rPr>
          <w:rFonts w:eastAsia="Times New Roman"/>
          <w:sz w:val="16"/>
          <w:lang w:val="en-GB" w:eastAsia="el-GR"/>
        </w:rPr>
        <w:t xml:space="preserve"> 113–120.</w:t>
      </w:r>
    </w:p>
    <w:p w14:paraId="4912680C" w14:textId="77777777" w:rsidR="00C164D7" w:rsidRPr="00B723C6" w:rsidRDefault="00C164D7" w:rsidP="00C164D7">
      <w:pPr>
        <w:jc w:val="both"/>
        <w:rPr>
          <w:rFonts w:eastAsia="Times New Roman"/>
          <w:sz w:val="16"/>
          <w:lang w:val="en-GB" w:eastAsia="el-GR"/>
        </w:rPr>
      </w:pPr>
    </w:p>
    <w:p w14:paraId="622E6E92" w14:textId="77777777" w:rsidR="00C164D7" w:rsidRDefault="00C164D7" w:rsidP="00C164D7">
      <w:pPr>
        <w:jc w:val="both"/>
        <w:rPr>
          <w:rFonts w:eastAsia="Times New Roman"/>
          <w:sz w:val="16"/>
          <w:lang w:val="en-GB" w:eastAsia="el-GR"/>
        </w:rPr>
      </w:pPr>
      <w:proofErr w:type="spellStart"/>
      <w:r w:rsidRPr="00B723C6">
        <w:rPr>
          <w:rFonts w:eastAsia="Times New Roman"/>
          <w:sz w:val="16"/>
          <w:lang w:val="en-GB" w:eastAsia="el-GR"/>
        </w:rPr>
        <w:t>Wehmeyer</w:t>
      </w:r>
      <w:proofErr w:type="spellEnd"/>
      <w:r w:rsidRPr="00B723C6">
        <w:rPr>
          <w:rFonts w:eastAsia="Times New Roman"/>
          <w:sz w:val="16"/>
          <w:lang w:val="en-GB" w:eastAsia="el-GR"/>
        </w:rPr>
        <w:t xml:space="preserve">, M. L., </w:t>
      </w:r>
      <w:proofErr w:type="spellStart"/>
      <w:r w:rsidRPr="00B723C6">
        <w:rPr>
          <w:rFonts w:eastAsia="Times New Roman"/>
          <w:sz w:val="16"/>
          <w:lang w:val="en-GB" w:eastAsia="el-GR"/>
        </w:rPr>
        <w:t>Agran</w:t>
      </w:r>
      <w:proofErr w:type="spellEnd"/>
      <w:r w:rsidRPr="00B723C6">
        <w:rPr>
          <w:rFonts w:eastAsia="Times New Roman"/>
          <w:sz w:val="16"/>
          <w:lang w:val="en-GB" w:eastAsia="el-GR"/>
        </w:rPr>
        <w:t xml:space="preserve">, M., Hughes, C., Martin, J., </w:t>
      </w:r>
      <w:proofErr w:type="spellStart"/>
      <w:r w:rsidRPr="00B723C6">
        <w:rPr>
          <w:rFonts w:eastAsia="Times New Roman"/>
          <w:sz w:val="16"/>
          <w:lang w:val="en-GB" w:eastAsia="el-GR"/>
        </w:rPr>
        <w:t>Mithaug</w:t>
      </w:r>
      <w:proofErr w:type="spellEnd"/>
      <w:r w:rsidRPr="00B723C6">
        <w:rPr>
          <w:rFonts w:eastAsia="Times New Roman"/>
          <w:sz w:val="16"/>
          <w:lang w:val="en-GB" w:eastAsia="el-GR"/>
        </w:rPr>
        <w:t xml:space="preserve">, D. E., &amp; Palmer, S. (2007). </w:t>
      </w:r>
      <w:r w:rsidRPr="00B723C6">
        <w:rPr>
          <w:rFonts w:eastAsia="Times New Roman"/>
          <w:i/>
          <w:iCs/>
          <w:sz w:val="16"/>
          <w:lang w:val="en-GB" w:eastAsia="el-GR"/>
        </w:rPr>
        <w:t>Promoting</w:t>
      </w:r>
      <w:r w:rsidRPr="00B723C6">
        <w:rPr>
          <w:rFonts w:eastAsia="Times New Roman"/>
          <w:sz w:val="16"/>
          <w:lang w:val="en-GB" w:eastAsia="el-GR"/>
        </w:rPr>
        <w:t xml:space="preserve"> </w:t>
      </w:r>
      <w:r w:rsidRPr="00B723C6">
        <w:rPr>
          <w:rFonts w:eastAsia="Times New Roman"/>
          <w:i/>
          <w:iCs/>
          <w:sz w:val="16"/>
          <w:lang w:val="en-GB" w:eastAsia="el-GR"/>
        </w:rPr>
        <w:t>self-determination in students with intellectual</w:t>
      </w:r>
      <w:r w:rsidRPr="00B723C6">
        <w:rPr>
          <w:rFonts w:eastAsia="Times New Roman"/>
          <w:sz w:val="16"/>
          <w:lang w:val="en-GB" w:eastAsia="el-GR"/>
        </w:rPr>
        <w:t xml:space="preserve"> </w:t>
      </w:r>
      <w:r w:rsidRPr="00B723C6">
        <w:rPr>
          <w:rFonts w:eastAsia="Times New Roman"/>
          <w:i/>
          <w:iCs/>
          <w:sz w:val="16"/>
          <w:lang w:val="en-GB" w:eastAsia="el-GR"/>
        </w:rPr>
        <w:t xml:space="preserve">and developmental disabilities. </w:t>
      </w:r>
      <w:r w:rsidRPr="00B723C6">
        <w:rPr>
          <w:rFonts w:eastAsia="Times New Roman"/>
          <w:sz w:val="16"/>
          <w:lang w:val="en-GB" w:eastAsia="el-GR"/>
        </w:rPr>
        <w:t>New York: Guilford.</w:t>
      </w:r>
    </w:p>
    <w:p w14:paraId="2A54CB8E" w14:textId="77777777" w:rsidR="00C164D7" w:rsidRPr="00B723C6" w:rsidRDefault="00C164D7" w:rsidP="00C164D7">
      <w:pPr>
        <w:jc w:val="both"/>
        <w:rPr>
          <w:rFonts w:eastAsia="Times New Roman"/>
          <w:sz w:val="16"/>
          <w:lang w:val="en-GB" w:eastAsia="el-GR"/>
        </w:rPr>
      </w:pPr>
    </w:p>
    <w:p w14:paraId="1211CB60" w14:textId="77777777" w:rsidR="00C164D7" w:rsidRPr="00B723C6" w:rsidRDefault="00C164D7" w:rsidP="00C164D7">
      <w:pPr>
        <w:autoSpaceDE w:val="0"/>
        <w:autoSpaceDN w:val="0"/>
        <w:adjustRightInd w:val="0"/>
        <w:jc w:val="both"/>
        <w:rPr>
          <w:iCs/>
          <w:sz w:val="16"/>
        </w:rPr>
      </w:pPr>
      <w:proofErr w:type="spellStart"/>
      <w:r w:rsidRPr="00B723C6">
        <w:rPr>
          <w:iCs/>
          <w:sz w:val="16"/>
          <w:lang w:val="en-GB"/>
        </w:rPr>
        <w:t>Wehmeyer</w:t>
      </w:r>
      <w:proofErr w:type="spellEnd"/>
      <w:r w:rsidRPr="00B723C6">
        <w:rPr>
          <w:iCs/>
          <w:sz w:val="16"/>
          <w:lang w:val="en-GB"/>
        </w:rPr>
        <w:t xml:space="preserve">, M. L., Palmer, S. B., </w:t>
      </w:r>
      <w:proofErr w:type="spellStart"/>
      <w:r w:rsidRPr="00B723C6">
        <w:rPr>
          <w:iCs/>
          <w:sz w:val="16"/>
          <w:lang w:val="en-GB"/>
        </w:rPr>
        <w:t>Agran</w:t>
      </w:r>
      <w:proofErr w:type="spellEnd"/>
      <w:r w:rsidRPr="00B723C6">
        <w:rPr>
          <w:iCs/>
          <w:sz w:val="16"/>
          <w:lang w:val="en-GB"/>
        </w:rPr>
        <w:t xml:space="preserve">, M., </w:t>
      </w:r>
      <w:proofErr w:type="spellStart"/>
      <w:r w:rsidRPr="00B723C6">
        <w:rPr>
          <w:iCs/>
          <w:sz w:val="16"/>
          <w:lang w:val="en-GB"/>
        </w:rPr>
        <w:t>Mithaug</w:t>
      </w:r>
      <w:proofErr w:type="spellEnd"/>
      <w:r w:rsidRPr="00B723C6">
        <w:rPr>
          <w:iCs/>
          <w:sz w:val="16"/>
          <w:lang w:val="en-GB"/>
        </w:rPr>
        <w:t xml:space="preserve">, D. E., &amp; Martin, J. E. (2000). Promoting causal agency: The Self-Determined Learning Model of Instruction. </w:t>
      </w:r>
      <w:r w:rsidRPr="00B723C6">
        <w:rPr>
          <w:i/>
          <w:iCs/>
          <w:sz w:val="16"/>
        </w:rPr>
        <w:t>Exceptional Children</w:t>
      </w:r>
      <w:r w:rsidRPr="00B723C6">
        <w:rPr>
          <w:iCs/>
          <w:sz w:val="16"/>
        </w:rPr>
        <w:t>, 66, 439-453</w:t>
      </w:r>
    </w:p>
    <w:p w14:paraId="4FB3CB9C" w14:textId="77777777" w:rsidR="00C164D7" w:rsidRDefault="00C164D7" w:rsidP="00C164D7">
      <w:pPr>
        <w:pStyle w:val="Heading2"/>
        <w:jc w:val="both"/>
      </w:pPr>
    </w:p>
    <w:p w14:paraId="5F1D2C56" w14:textId="77777777" w:rsidR="00891D6E" w:rsidRDefault="00891D6E" w:rsidP="00C164D7">
      <w:pPr>
        <w:pStyle w:val="Heading1"/>
      </w:pPr>
    </w:p>
    <w:sectPr w:rsidR="00891D6E" w:rsidSect="00C370A6">
      <w:headerReference w:type="default" r:id="rId18"/>
      <w:footerReference w:type="default" r:id="rId19"/>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5BB88" w14:textId="77777777" w:rsidR="00330975" w:rsidRDefault="00330975" w:rsidP="00A66B13">
      <w:r>
        <w:separator/>
      </w:r>
    </w:p>
  </w:endnote>
  <w:endnote w:type="continuationSeparator" w:id="0">
    <w:p w14:paraId="6072DC9D" w14:textId="77777777" w:rsidR="00330975" w:rsidRDefault="00330975"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625B1BD1" w:rsidR="001A7EA7" w:rsidRDefault="00C164D7" w:rsidP="00A66B13">
    <w:pPr>
      <w:pStyle w:val="Footer"/>
    </w:pPr>
    <w:r>
      <w:rPr>
        <w:noProof/>
        <w:lang w:val="el-GR" w:eastAsia="el-GR"/>
      </w:rPr>
      <w:drawing>
        <wp:anchor distT="0" distB="0" distL="114300" distR="114300" simplePos="0" relativeHeight="251667968" behindDoc="0" locked="0" layoutInCell="1" allowOverlap="1" wp14:anchorId="72A0799E" wp14:editId="7D45304E">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94584" w14:textId="77777777" w:rsidR="00330975" w:rsidRDefault="00330975" w:rsidP="00A66B13">
      <w:r>
        <w:separator/>
      </w:r>
    </w:p>
  </w:footnote>
  <w:footnote w:type="continuationSeparator" w:id="0">
    <w:p w14:paraId="0CF03EA1" w14:textId="77777777" w:rsidR="00330975" w:rsidRDefault="00330975"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2E3FF5A8" w:rsidR="001A7EA7" w:rsidRDefault="00C164D7"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3B7C651E">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B0113"/>
    <w:multiLevelType w:val="hybridMultilevel"/>
    <w:tmpl w:val="0742BF80"/>
    <w:lvl w:ilvl="0" w:tplc="421A6EFE">
      <w:start w:val="1"/>
      <w:numFmt w:val="decimal"/>
      <w:lvlText w:val="%1."/>
      <w:lvlJc w:val="left"/>
      <w:pPr>
        <w:ind w:left="540" w:hanging="360"/>
      </w:pPr>
      <w:rPr>
        <w:rFonts w:hint="default"/>
        <w:b w:val="0"/>
      </w:rPr>
    </w:lvl>
    <w:lvl w:ilvl="1" w:tplc="08090003" w:tentative="1">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DB5CB3"/>
    <w:multiLevelType w:val="hybridMultilevel"/>
    <w:tmpl w:val="DAF0C8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C30C19"/>
    <w:multiLevelType w:val="hybridMultilevel"/>
    <w:tmpl w:val="FA008400"/>
    <w:lvl w:ilvl="0" w:tplc="97AE64A0">
      <w:start w:val="1"/>
      <w:numFmt w:val="decimal"/>
      <w:lvlText w:val="%1."/>
      <w:lvlJc w:val="left"/>
      <w:pPr>
        <w:ind w:left="540" w:hanging="360"/>
      </w:pPr>
      <w:rPr>
        <w:rFonts w:hint="default"/>
        <w:b/>
      </w:rPr>
    </w:lvl>
    <w:lvl w:ilvl="1" w:tplc="08090003" w:tentative="1">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15:restartNumberingAfterBreak="0">
    <w:nsid w:val="67A205E7"/>
    <w:multiLevelType w:val="hybridMultilevel"/>
    <w:tmpl w:val="16F4038E"/>
    <w:lvl w:ilvl="0" w:tplc="97AE64A0">
      <w:start w:val="1"/>
      <w:numFmt w:val="decimal"/>
      <w:lvlText w:val="%1."/>
      <w:lvlJc w:val="left"/>
      <w:pPr>
        <w:ind w:left="540" w:hanging="360"/>
      </w:pPr>
      <w:rPr>
        <w:rFonts w:hint="default"/>
        <w:b/>
      </w:rPr>
    </w:lvl>
    <w:lvl w:ilvl="1" w:tplc="2570A414">
      <w:start w:val="1"/>
      <w:numFmt w:val="decimal"/>
      <w:lvlText w:val="%2."/>
      <w:lvlJc w:val="left"/>
      <w:pPr>
        <w:ind w:left="1440" w:hanging="360"/>
      </w:pPr>
      <w:rPr>
        <w:rFonts w:hint="default"/>
        <w:b/>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873105"/>
    <w:multiLevelType w:val="hybridMultilevel"/>
    <w:tmpl w:val="FA94B072"/>
    <w:lvl w:ilvl="0" w:tplc="B108F772">
      <w:start w:val="1"/>
      <w:numFmt w:val="decimal"/>
      <w:lvlText w:val="%1."/>
      <w:lvlJc w:val="left"/>
      <w:pPr>
        <w:ind w:left="540" w:hanging="360"/>
      </w:pPr>
      <w:rPr>
        <w:rFonts w:hint="default"/>
        <w:b w:val="0"/>
      </w:rPr>
    </w:lvl>
    <w:lvl w:ilvl="1" w:tplc="08090003" w:tentative="1">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8"/>
  </w:num>
  <w:num w:numId="5">
    <w:abstractNumId w:val="10"/>
  </w:num>
  <w:num w:numId="6">
    <w:abstractNumId w:val="4"/>
  </w:num>
  <w:num w:numId="7">
    <w:abstractNumId w:val="5"/>
  </w:num>
  <w:num w:numId="8">
    <w:abstractNumId w:val="2"/>
  </w:num>
  <w:num w:numId="9">
    <w:abstractNumId w:val="9"/>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0975"/>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164D7"/>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64D7"/>
    <w:rPr>
      <w:color w:val="74CEE0" w:themeColor="hyperlink"/>
      <w:u w:val="single"/>
    </w:rPr>
  </w:style>
  <w:style w:type="paragraph" w:styleId="Subtitle">
    <w:name w:val="Subtitle"/>
    <w:aliases w:val="Tips"/>
    <w:basedOn w:val="Normal"/>
    <w:next w:val="Normal"/>
    <w:link w:val="SubtitleChar"/>
    <w:qFormat/>
    <w:rsid w:val="00C164D7"/>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C164D7"/>
    <w:rPr>
      <w:rFonts w:cstheme="minorBidi"/>
      <w:b/>
      <w:color w:val="2E3B42" w:themeColor="accent2"/>
      <w:sz w:val="28"/>
    </w:rPr>
  </w:style>
  <w:style w:type="character" w:customStyle="1" w:styleId="apple-converted-space">
    <w:name w:val="apple-converted-space"/>
    <w:rsid w:val="00C16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bsc.info/sab/PDFs/m3_u6_manual.pdf" TargetMode="External"/><Relationship Id="rId17" Type="http://schemas.openxmlformats.org/officeDocument/2006/relationships/hyperlink" Target="https://www.mentalhelp.net/articles/adaptive-behavior-life-skills/" TargetMode="External"/><Relationship Id="rId2" Type="http://schemas.openxmlformats.org/officeDocument/2006/relationships/numbering" Target="numbering.xml"/><Relationship Id="rId16" Type="http://schemas.openxmlformats.org/officeDocument/2006/relationships/hyperlink" Target="http://aaidd.org/intellectual-disability/defini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aaidd.org"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earsonclinical.com/psychology/products/100000449/adaptive-behavior-assessment-system-second-edition-abas-second-edition.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0748E-84AC-4044-91E8-20F5484CC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5</Pages>
  <Words>1685</Words>
  <Characters>9105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2017-06-27T12:09:00Z</dcterms:modified>
</cp:coreProperties>
</file>