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2BAAF9A" w:rsidR="006E78E0" w:rsidRPr="004F7767" w:rsidRDefault="00E02E7D" w:rsidP="00297489">
                            <w:pPr>
                              <w:pStyle w:val="Heading1"/>
                              <w:rPr>
                                <w:rStyle w:val="SubtleReference"/>
                                <w:color w:val="2E3B42" w:themeColor="accent2"/>
                              </w:rPr>
                            </w:pPr>
                            <w:r>
                              <w:rPr>
                                <w:rStyle w:val="SubtleReference"/>
                                <w:color w:val="2E3B42" w:themeColor="accent2"/>
                              </w:rPr>
                              <w:t>Written Language Deficits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2BAAF9A" w:rsidR="006E78E0" w:rsidRPr="004F7767" w:rsidRDefault="00E02E7D" w:rsidP="00297489">
                      <w:pPr>
                        <w:pStyle w:val="Heading1"/>
                        <w:rPr>
                          <w:rStyle w:val="SubtleReference"/>
                          <w:color w:val="2E3B42" w:themeColor="accent2"/>
                        </w:rPr>
                      </w:pPr>
                      <w:r>
                        <w:rPr>
                          <w:rStyle w:val="SubtleReference"/>
                          <w:color w:val="2E3B42" w:themeColor="accent2"/>
                        </w:rPr>
                        <w:t>Written Language Deficits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12D6D95" w:rsidR="00A3694A" w:rsidRPr="004F7767" w:rsidRDefault="00E02E7D"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12D6D95" w:rsidR="00A3694A" w:rsidRPr="004F7767" w:rsidRDefault="00E02E7D"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8BD8D80" w14:textId="77777777" w:rsidR="00E02E7D" w:rsidRPr="007F064F" w:rsidRDefault="00E02E7D" w:rsidP="00E02E7D">
      <w:pPr>
        <w:pStyle w:val="Heading2"/>
        <w:jc w:val="both"/>
        <w:rPr>
          <w:rFonts w:cs="Calibri"/>
        </w:rPr>
      </w:pPr>
      <w:bookmarkStart w:id="0" w:name="_Toc484698947"/>
      <w:r w:rsidRPr="007F064F">
        <w:rPr>
          <w:rFonts w:cs="Calibri"/>
        </w:rPr>
        <w:lastRenderedPageBreak/>
        <w:t>Written Language Deficits</w:t>
      </w:r>
      <w:bookmarkEnd w:id="0"/>
    </w:p>
    <w:p w14:paraId="5AEA4B61" w14:textId="77777777" w:rsidR="00E02E7D" w:rsidRPr="007F064F" w:rsidRDefault="00E02E7D" w:rsidP="00E02E7D">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02E7D" w:rsidRPr="007F064F" w14:paraId="106E632C" w14:textId="77777777" w:rsidTr="00435B85">
        <w:trPr>
          <w:trHeight w:val="845"/>
        </w:trPr>
        <w:tc>
          <w:tcPr>
            <w:tcW w:w="1135" w:type="dxa"/>
            <w:tcBorders>
              <w:top w:val="nil"/>
              <w:bottom w:val="nil"/>
              <w:right w:val="nil"/>
            </w:tcBorders>
            <w:vAlign w:val="center"/>
          </w:tcPr>
          <w:p w14:paraId="695AA6F2" w14:textId="77777777" w:rsidR="00E02E7D" w:rsidRPr="007F064F" w:rsidRDefault="00E02E7D" w:rsidP="00435B85">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0A2BEF8A" wp14:editId="52912F96">
                  <wp:simplePos x="0" y="0"/>
                  <wp:positionH relativeFrom="column">
                    <wp:posOffset>87630</wp:posOffset>
                  </wp:positionH>
                  <wp:positionV relativeFrom="paragraph">
                    <wp:posOffset>-5080</wp:posOffset>
                  </wp:positionV>
                  <wp:extent cx="516890" cy="516890"/>
                  <wp:effectExtent l="25400" t="0" r="0" b="0"/>
                  <wp:wrapNone/>
                  <wp:docPr id="3"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5C38288" w14:textId="77777777" w:rsidR="00E02E7D" w:rsidRPr="007F064F" w:rsidRDefault="00E02E7D" w:rsidP="00435B85">
            <w:pPr>
              <w:jc w:val="both"/>
              <w:rPr>
                <w:rFonts w:cs="Calibri"/>
              </w:rPr>
            </w:pPr>
          </w:p>
        </w:tc>
        <w:tc>
          <w:tcPr>
            <w:tcW w:w="8159" w:type="dxa"/>
            <w:tcBorders>
              <w:left w:val="nil"/>
            </w:tcBorders>
            <w:vAlign w:val="center"/>
          </w:tcPr>
          <w:p w14:paraId="48737578" w14:textId="77777777" w:rsidR="00E02E7D" w:rsidRPr="007F064F" w:rsidRDefault="00E02E7D" w:rsidP="00435B85">
            <w:pPr>
              <w:pStyle w:val="Subtitle"/>
              <w:jc w:val="both"/>
              <w:rPr>
                <w:rFonts w:cs="Calibri"/>
              </w:rPr>
            </w:pPr>
            <w:r w:rsidRPr="007F064F">
              <w:rPr>
                <w:rFonts w:cs="Calibri"/>
              </w:rPr>
              <w:t>Classroom-based tips (focus on instructional methods)</w:t>
            </w:r>
          </w:p>
        </w:tc>
      </w:tr>
    </w:tbl>
    <w:p w14:paraId="75DF5C02" w14:textId="77777777" w:rsidR="00E02E7D" w:rsidRPr="007F064F" w:rsidRDefault="00E02E7D" w:rsidP="00E02E7D">
      <w:pPr>
        <w:jc w:val="both"/>
        <w:rPr>
          <w:rFonts w:cs="Calibri"/>
        </w:rPr>
      </w:pPr>
    </w:p>
    <w:p w14:paraId="14D9AE71" w14:textId="77777777" w:rsidR="00E02E7D" w:rsidRPr="007F064F" w:rsidRDefault="00E02E7D" w:rsidP="00E02E7D">
      <w:pPr>
        <w:jc w:val="both"/>
        <w:rPr>
          <w:rFonts w:cs="Calibri"/>
        </w:rPr>
      </w:pPr>
      <w:r w:rsidRPr="007F064F">
        <w:rPr>
          <w:rFonts w:eastAsia="Times New Roman" w:cs="Calibri"/>
          <w:b/>
          <w:szCs w:val="24"/>
        </w:rPr>
        <w:t>To help pupils develop their writing skills you can use the following techniques:</w:t>
      </w:r>
    </w:p>
    <w:p w14:paraId="7E05E64F" w14:textId="77777777" w:rsidR="00E02E7D" w:rsidRPr="007F064F" w:rsidRDefault="00E02E7D" w:rsidP="00E02E7D">
      <w:pPr>
        <w:jc w:val="both"/>
        <w:rPr>
          <w:rFonts w:cs="Calibri"/>
        </w:rPr>
      </w:pPr>
    </w:p>
    <w:p w14:paraId="43616CEB" w14:textId="77777777" w:rsidR="00E02E7D" w:rsidRPr="007F064F" w:rsidRDefault="00E02E7D" w:rsidP="00E02E7D">
      <w:pPr>
        <w:widowControl w:val="0"/>
        <w:numPr>
          <w:ilvl w:val="0"/>
          <w:numId w:val="7"/>
        </w:numPr>
        <w:ind w:hanging="360"/>
        <w:jc w:val="both"/>
        <w:rPr>
          <w:rFonts w:cs="Calibri"/>
        </w:rPr>
      </w:pPr>
      <w:r w:rsidRPr="007F064F">
        <w:rPr>
          <w:rFonts w:eastAsia="Times New Roman" w:cs="Calibri"/>
          <w:b/>
          <w:szCs w:val="24"/>
        </w:rPr>
        <w:t>Use ICT with individuals or groups</w:t>
      </w:r>
      <w:r w:rsidRPr="007F064F">
        <w:rPr>
          <w:rFonts w:eastAsia="Times New Roman" w:cs="Calibri"/>
          <w:szCs w:val="24"/>
        </w:rPr>
        <w:t xml:space="preserve"> (e.g. the pupils read a text as a group, and then each pupil individually prepares a short story based on this text using digital storytelling. </w:t>
      </w:r>
    </w:p>
    <w:p w14:paraId="0B9C55E8" w14:textId="77777777" w:rsidR="00E02E7D" w:rsidRPr="007F064F" w:rsidRDefault="00E02E7D" w:rsidP="00E02E7D">
      <w:pPr>
        <w:jc w:val="both"/>
        <w:rPr>
          <w:rFonts w:cs="Calibri"/>
        </w:rPr>
      </w:pPr>
    </w:p>
    <w:p w14:paraId="0798534A" w14:textId="77777777" w:rsidR="00E02E7D" w:rsidRPr="007F064F" w:rsidRDefault="00E02E7D" w:rsidP="00E02E7D">
      <w:pPr>
        <w:widowControl w:val="0"/>
        <w:numPr>
          <w:ilvl w:val="0"/>
          <w:numId w:val="7"/>
        </w:numPr>
        <w:ind w:hanging="360"/>
        <w:jc w:val="both"/>
        <w:rPr>
          <w:rFonts w:eastAsia="Times New Roman" w:cs="Calibri"/>
          <w:szCs w:val="24"/>
        </w:rPr>
      </w:pPr>
      <w:r w:rsidRPr="007F064F">
        <w:rPr>
          <w:rFonts w:eastAsia="Times New Roman" w:cs="Calibri"/>
          <w:b/>
          <w:szCs w:val="24"/>
        </w:rPr>
        <w:t>Use visual prompts like flash cards/multimedia and other applications</w:t>
      </w:r>
      <w:r w:rsidRPr="007F064F">
        <w:rPr>
          <w:rFonts w:eastAsia="Times New Roman" w:cs="Calibri"/>
          <w:szCs w:val="24"/>
        </w:rPr>
        <w:t xml:space="preserve"> to enhance pupils’ spelling skills and vocabulary (</w:t>
      </w:r>
      <w:proofErr w:type="spellStart"/>
      <w:r w:rsidRPr="007F064F">
        <w:rPr>
          <w:rFonts w:eastAsia="Times New Roman" w:cs="Calibri"/>
          <w:szCs w:val="24"/>
        </w:rPr>
        <w:t>Chera</w:t>
      </w:r>
      <w:proofErr w:type="spellEnd"/>
      <w:r w:rsidRPr="007F064F">
        <w:rPr>
          <w:rFonts w:eastAsia="Times New Roman" w:cs="Calibri"/>
          <w:szCs w:val="24"/>
        </w:rPr>
        <w:t xml:space="preserve"> &amp; Wood, 2003)</w:t>
      </w:r>
    </w:p>
    <w:p w14:paraId="79C00596" w14:textId="77777777" w:rsidR="00E02E7D" w:rsidRPr="007F064F" w:rsidRDefault="00E02E7D" w:rsidP="00E02E7D">
      <w:pPr>
        <w:pStyle w:val="ListParagraph"/>
        <w:jc w:val="both"/>
        <w:rPr>
          <w:rFonts w:eastAsia="Times New Roman" w:cs="Calibri"/>
          <w:b/>
          <w:szCs w:val="24"/>
        </w:rPr>
      </w:pPr>
    </w:p>
    <w:p w14:paraId="56A3452D" w14:textId="77777777" w:rsidR="00E02E7D" w:rsidRPr="007F064F" w:rsidRDefault="00E02E7D" w:rsidP="00E02E7D">
      <w:pPr>
        <w:widowControl w:val="0"/>
        <w:numPr>
          <w:ilvl w:val="0"/>
          <w:numId w:val="7"/>
        </w:numPr>
        <w:ind w:hanging="360"/>
        <w:jc w:val="both"/>
        <w:rPr>
          <w:rFonts w:eastAsia="Times New Roman" w:cs="Calibri"/>
          <w:szCs w:val="24"/>
        </w:rPr>
      </w:pPr>
      <w:r w:rsidRPr="007F064F">
        <w:rPr>
          <w:rFonts w:eastAsia="Times New Roman" w:cs="Calibri"/>
          <w:b/>
          <w:szCs w:val="24"/>
        </w:rPr>
        <w:t>Let your pupils be creative and use their imagination during the writing process.</w:t>
      </w:r>
      <w:r w:rsidRPr="007F064F">
        <w:rPr>
          <w:rFonts w:eastAsia="Times New Roman" w:cs="Calibri"/>
          <w:szCs w:val="24"/>
        </w:rPr>
        <w:t xml:space="preserve"> Show them that writing constitutes an important part of our lives (</w:t>
      </w:r>
      <w:proofErr w:type="spellStart"/>
      <w:r w:rsidRPr="007F064F">
        <w:rPr>
          <w:rFonts w:eastAsia="Times New Roman" w:cs="Calibri"/>
          <w:szCs w:val="24"/>
        </w:rPr>
        <w:t>Troia</w:t>
      </w:r>
      <w:proofErr w:type="spellEnd"/>
      <w:r w:rsidRPr="007F064F">
        <w:rPr>
          <w:rFonts w:eastAsia="Times New Roman" w:cs="Calibri"/>
          <w:szCs w:val="24"/>
        </w:rPr>
        <w:t>, 2006).  Some examples that could be adapted based on your class’s needs may include assisting pupils to write different kinds of letters, or even shopping lists.</w:t>
      </w:r>
    </w:p>
    <w:p w14:paraId="50A1A896" w14:textId="77777777" w:rsidR="00E02E7D" w:rsidRPr="007F064F" w:rsidRDefault="00E02E7D" w:rsidP="00E02E7D">
      <w:pPr>
        <w:jc w:val="both"/>
        <w:rPr>
          <w:rFonts w:eastAsia="Times New Roman" w:cs="Calibri"/>
          <w:szCs w:val="24"/>
        </w:rPr>
      </w:pPr>
    </w:p>
    <w:p w14:paraId="64CD6924" w14:textId="77777777" w:rsidR="00E02E7D" w:rsidRPr="007F064F" w:rsidRDefault="00E02E7D" w:rsidP="00E02E7D">
      <w:pPr>
        <w:widowControl w:val="0"/>
        <w:numPr>
          <w:ilvl w:val="0"/>
          <w:numId w:val="7"/>
        </w:numPr>
        <w:ind w:hanging="360"/>
        <w:jc w:val="both"/>
        <w:rPr>
          <w:rFonts w:cs="Calibri"/>
        </w:rPr>
      </w:pPr>
      <w:r w:rsidRPr="007F064F">
        <w:rPr>
          <w:rFonts w:eastAsia="Times New Roman" w:cs="Calibri"/>
          <w:b/>
          <w:szCs w:val="24"/>
        </w:rPr>
        <w:t>Create activities that are relevant to your pupils’ experiences and interests</w:t>
      </w:r>
      <w:r w:rsidRPr="007F064F">
        <w:rPr>
          <w:rFonts w:eastAsia="Times New Roman" w:cs="Calibri"/>
          <w:szCs w:val="24"/>
        </w:rPr>
        <w:t xml:space="preserve"> (</w:t>
      </w:r>
      <w:r w:rsidRPr="007F064F">
        <w:rPr>
          <w:rFonts w:eastAsia="Times New Roman" w:cs="Calibri"/>
          <w:szCs w:val="24"/>
          <w:highlight w:val="white"/>
        </w:rPr>
        <w:t xml:space="preserve">González, Moll, &amp; </w:t>
      </w:r>
      <w:proofErr w:type="spellStart"/>
      <w:r w:rsidRPr="007F064F">
        <w:rPr>
          <w:rFonts w:eastAsia="Times New Roman" w:cs="Calibri"/>
          <w:szCs w:val="24"/>
          <w:highlight w:val="white"/>
        </w:rPr>
        <w:t>Amanti</w:t>
      </w:r>
      <w:proofErr w:type="spellEnd"/>
      <w:r w:rsidRPr="007F064F">
        <w:rPr>
          <w:rFonts w:eastAsia="Times New Roman" w:cs="Calibri"/>
          <w:szCs w:val="24"/>
          <w:highlight w:val="white"/>
        </w:rPr>
        <w:t>, 2006)</w:t>
      </w:r>
      <w:r w:rsidRPr="007F064F">
        <w:rPr>
          <w:rFonts w:eastAsia="Times New Roman" w:cs="Calibri"/>
          <w:szCs w:val="24"/>
        </w:rPr>
        <w:t xml:space="preserve"> and ask them to prepare stories in different formats, for example drawings, or photos taken on their phones that they can use in their writing assignments.</w:t>
      </w:r>
    </w:p>
    <w:p w14:paraId="37478470" w14:textId="77777777" w:rsidR="00E02E7D" w:rsidRPr="007F064F" w:rsidRDefault="00E02E7D" w:rsidP="00E02E7D">
      <w:pPr>
        <w:widowControl w:val="0"/>
        <w:ind w:left="720"/>
        <w:jc w:val="both"/>
        <w:rPr>
          <w:rFonts w:cs="Calibri"/>
        </w:rPr>
      </w:pPr>
    </w:p>
    <w:p w14:paraId="4DB087EA" w14:textId="77777777" w:rsidR="00E02E7D" w:rsidRPr="007F064F" w:rsidRDefault="00E02E7D" w:rsidP="00E02E7D">
      <w:pPr>
        <w:widowControl w:val="0"/>
        <w:numPr>
          <w:ilvl w:val="0"/>
          <w:numId w:val="7"/>
        </w:numPr>
        <w:ind w:hanging="360"/>
        <w:jc w:val="both"/>
        <w:rPr>
          <w:rFonts w:cs="Calibri"/>
        </w:rPr>
      </w:pPr>
      <w:r w:rsidRPr="007F064F">
        <w:rPr>
          <w:rFonts w:eastAsia="Times New Roman" w:cs="Calibri"/>
          <w:b/>
          <w:szCs w:val="24"/>
        </w:rPr>
        <w:t>Build on your pupils’ interests and provide them with material that motivates them</w:t>
      </w:r>
      <w:r w:rsidRPr="007F064F">
        <w:rPr>
          <w:rFonts w:eastAsia="Times New Roman" w:cs="Calibri"/>
          <w:szCs w:val="24"/>
        </w:rPr>
        <w:t xml:space="preserve"> to learn new vocabulary and engage in the writing process, such as comics and super-heroes with related vocabulary development (</w:t>
      </w:r>
      <w:r w:rsidRPr="007F064F">
        <w:rPr>
          <w:rFonts w:eastAsia="Times New Roman" w:cs="Calibri"/>
          <w:szCs w:val="24"/>
          <w:highlight w:val="white"/>
        </w:rPr>
        <w:t xml:space="preserve">González, Moll, &amp; </w:t>
      </w:r>
      <w:proofErr w:type="spellStart"/>
      <w:r w:rsidRPr="007F064F">
        <w:rPr>
          <w:rFonts w:eastAsia="Times New Roman" w:cs="Calibri"/>
          <w:szCs w:val="24"/>
          <w:highlight w:val="white"/>
        </w:rPr>
        <w:t>Amanti</w:t>
      </w:r>
      <w:proofErr w:type="spellEnd"/>
      <w:r w:rsidRPr="007F064F">
        <w:rPr>
          <w:rFonts w:eastAsia="Times New Roman" w:cs="Calibri"/>
          <w:szCs w:val="24"/>
          <w:highlight w:val="white"/>
        </w:rPr>
        <w:t>, 2006)</w:t>
      </w:r>
    </w:p>
    <w:p w14:paraId="085B03F0" w14:textId="77777777" w:rsidR="00E02E7D" w:rsidRPr="007F064F" w:rsidRDefault="00E02E7D" w:rsidP="00E02E7D">
      <w:pPr>
        <w:ind w:left="720"/>
        <w:jc w:val="both"/>
        <w:rPr>
          <w:rFonts w:cs="Calibri"/>
        </w:rPr>
      </w:pPr>
    </w:p>
    <w:p w14:paraId="26B2BF31" w14:textId="77777777" w:rsidR="00E02E7D" w:rsidRPr="007F064F" w:rsidRDefault="00E02E7D" w:rsidP="00E02E7D">
      <w:pPr>
        <w:widowControl w:val="0"/>
        <w:numPr>
          <w:ilvl w:val="0"/>
          <w:numId w:val="7"/>
        </w:numPr>
        <w:ind w:hanging="360"/>
        <w:jc w:val="both"/>
        <w:rPr>
          <w:rFonts w:eastAsia="Times New Roman" w:cs="Calibri"/>
          <w:szCs w:val="24"/>
        </w:rPr>
      </w:pPr>
      <w:r w:rsidRPr="007F064F">
        <w:rPr>
          <w:rFonts w:eastAsia="Times New Roman" w:cs="Calibri"/>
          <w:szCs w:val="24"/>
        </w:rPr>
        <w:t xml:space="preserve"> </w:t>
      </w:r>
      <w:r w:rsidRPr="007F064F">
        <w:rPr>
          <w:rFonts w:eastAsia="Times New Roman" w:cs="Calibri"/>
          <w:b/>
          <w:szCs w:val="24"/>
        </w:rPr>
        <w:t>Provide your pupils with feedback;</w:t>
      </w:r>
      <w:r w:rsidRPr="007F064F">
        <w:rPr>
          <w:rFonts w:eastAsia="Times New Roman" w:cs="Calibri"/>
          <w:szCs w:val="24"/>
        </w:rPr>
        <w:t xml:space="preserve"> for example, you may ask your pupils what they consider important and produce a feedback document form together </w:t>
      </w:r>
      <w:r w:rsidRPr="007F064F">
        <w:rPr>
          <w:rFonts w:eastAsia="Times New Roman" w:cs="Calibri"/>
          <w:color w:val="222222"/>
          <w:szCs w:val="24"/>
          <w:highlight w:val="white"/>
        </w:rPr>
        <w:t>(</w:t>
      </w:r>
      <w:proofErr w:type="spellStart"/>
      <w:r w:rsidRPr="007F064F">
        <w:rPr>
          <w:rFonts w:eastAsia="Times New Roman" w:cs="Calibri"/>
          <w:color w:val="222222"/>
          <w:szCs w:val="24"/>
          <w:highlight w:val="white"/>
        </w:rPr>
        <w:t>Genlott</w:t>
      </w:r>
      <w:proofErr w:type="spellEnd"/>
      <w:proofErr w:type="gramStart"/>
      <w:r w:rsidRPr="007F064F">
        <w:rPr>
          <w:rFonts w:eastAsia="Times New Roman" w:cs="Calibri"/>
          <w:color w:val="222222"/>
          <w:szCs w:val="24"/>
          <w:highlight w:val="white"/>
        </w:rPr>
        <w:t>,  &amp;</w:t>
      </w:r>
      <w:proofErr w:type="gramEnd"/>
      <w:r w:rsidRPr="007F064F">
        <w:rPr>
          <w:rFonts w:eastAsia="Times New Roman" w:cs="Calibri"/>
          <w:color w:val="222222"/>
          <w:szCs w:val="24"/>
          <w:highlight w:val="white"/>
        </w:rPr>
        <w:t xml:space="preserve"> </w:t>
      </w:r>
      <w:proofErr w:type="spellStart"/>
      <w:r w:rsidRPr="007F064F">
        <w:rPr>
          <w:rFonts w:eastAsia="Times New Roman" w:cs="Calibri"/>
          <w:color w:val="222222"/>
          <w:szCs w:val="24"/>
          <w:highlight w:val="white"/>
        </w:rPr>
        <w:t>Grönlund</w:t>
      </w:r>
      <w:proofErr w:type="spellEnd"/>
      <w:r w:rsidRPr="007F064F">
        <w:rPr>
          <w:rFonts w:eastAsia="Times New Roman" w:cs="Calibri"/>
          <w:color w:val="222222"/>
          <w:szCs w:val="24"/>
          <w:highlight w:val="white"/>
        </w:rPr>
        <w:t xml:space="preserve">, 2013; </w:t>
      </w:r>
      <w:proofErr w:type="spellStart"/>
      <w:r w:rsidRPr="007F064F">
        <w:rPr>
          <w:rFonts w:eastAsia="Times New Roman" w:cs="Calibri"/>
          <w:color w:val="222222"/>
          <w:szCs w:val="24"/>
          <w:highlight w:val="white"/>
        </w:rPr>
        <w:t>Lieneman</w:t>
      </w:r>
      <w:proofErr w:type="spellEnd"/>
      <w:r w:rsidRPr="007F064F">
        <w:rPr>
          <w:rFonts w:eastAsia="Times New Roman" w:cs="Calibri"/>
          <w:color w:val="222222"/>
          <w:szCs w:val="24"/>
          <w:highlight w:val="white"/>
        </w:rPr>
        <w:t>, Graham, Leader- Janssen &amp;  Reid, 2006).</w:t>
      </w:r>
    </w:p>
    <w:p w14:paraId="325D8CB3" w14:textId="77777777" w:rsidR="00E02E7D" w:rsidRPr="007F064F" w:rsidRDefault="00E02E7D" w:rsidP="00E02E7D">
      <w:pPr>
        <w:pStyle w:val="ListParagraph"/>
        <w:jc w:val="both"/>
        <w:rPr>
          <w:rFonts w:eastAsia="Times New Roman" w:cs="Calibri"/>
          <w:szCs w:val="24"/>
        </w:rPr>
      </w:pPr>
    </w:p>
    <w:p w14:paraId="49EB76F5" w14:textId="77777777" w:rsidR="00E02E7D" w:rsidRPr="007F064F" w:rsidRDefault="00E02E7D" w:rsidP="00E02E7D">
      <w:pPr>
        <w:widowControl w:val="0"/>
        <w:numPr>
          <w:ilvl w:val="0"/>
          <w:numId w:val="7"/>
        </w:numPr>
        <w:ind w:hanging="360"/>
        <w:jc w:val="both"/>
        <w:rPr>
          <w:rFonts w:eastAsia="Times New Roman" w:cs="Calibri"/>
          <w:szCs w:val="24"/>
        </w:rPr>
      </w:pPr>
      <w:r w:rsidRPr="007F064F">
        <w:rPr>
          <w:rFonts w:eastAsia="Times New Roman" w:cs="Calibri"/>
          <w:b/>
          <w:szCs w:val="24"/>
        </w:rPr>
        <w:t>Check that pupils are attentive and not just sitting passively during shared reading and writing times.</w:t>
      </w:r>
      <w:r w:rsidRPr="007F064F">
        <w:rPr>
          <w:rFonts w:eastAsia="Times New Roman" w:cs="Calibri"/>
          <w:szCs w:val="24"/>
        </w:rPr>
        <w:t xml:space="preserve"> </w:t>
      </w:r>
    </w:p>
    <w:p w14:paraId="693F7D3A" w14:textId="77777777" w:rsidR="00E02E7D" w:rsidRPr="007F064F" w:rsidRDefault="00E02E7D" w:rsidP="00E02E7D">
      <w:pPr>
        <w:pStyle w:val="ListParagraph"/>
        <w:jc w:val="both"/>
        <w:rPr>
          <w:rFonts w:eastAsia="Times New Roman" w:cs="Calibri"/>
          <w:szCs w:val="24"/>
        </w:rPr>
      </w:pPr>
    </w:p>
    <w:p w14:paraId="43B40D4F" w14:textId="77777777" w:rsidR="00E02E7D" w:rsidRPr="007F064F" w:rsidRDefault="00E02E7D" w:rsidP="00E02E7D">
      <w:pPr>
        <w:widowControl w:val="0"/>
        <w:numPr>
          <w:ilvl w:val="0"/>
          <w:numId w:val="7"/>
        </w:numPr>
        <w:ind w:hanging="360"/>
        <w:jc w:val="both"/>
        <w:rPr>
          <w:rFonts w:eastAsia="Times New Roman" w:cs="Calibri"/>
          <w:szCs w:val="24"/>
        </w:rPr>
      </w:pPr>
      <w:r w:rsidRPr="007F064F">
        <w:rPr>
          <w:rFonts w:eastAsia="Times New Roman" w:cs="Calibri"/>
          <w:b/>
          <w:szCs w:val="24"/>
        </w:rPr>
        <w:t>Give pupils the books or text to be used in shared reading the week before</w:t>
      </w:r>
      <w:r w:rsidRPr="007F064F">
        <w:rPr>
          <w:rFonts w:eastAsia="Times New Roman" w:cs="Calibri"/>
          <w:szCs w:val="24"/>
        </w:rPr>
        <w:t>, so that they can practice.</w:t>
      </w:r>
    </w:p>
    <w:p w14:paraId="6D6F7779" w14:textId="77777777" w:rsidR="00E02E7D" w:rsidRPr="007F064F" w:rsidRDefault="00E02E7D" w:rsidP="00E02E7D">
      <w:pPr>
        <w:jc w:val="both"/>
        <w:rPr>
          <w:rFonts w:eastAsia="Times New Roman" w:cs="Calibri"/>
          <w:szCs w:val="24"/>
        </w:rPr>
      </w:pPr>
    </w:p>
    <w:p w14:paraId="68474CBF" w14:textId="77777777" w:rsidR="00E02E7D" w:rsidRPr="007F064F" w:rsidRDefault="00E02E7D" w:rsidP="00E02E7D">
      <w:pPr>
        <w:jc w:val="both"/>
        <w:rPr>
          <w:rFonts w:eastAsia="Times New Roman" w:cs="Calibri"/>
          <w:szCs w:val="24"/>
        </w:rPr>
      </w:pPr>
    </w:p>
    <w:p w14:paraId="12583BE4" w14:textId="77777777" w:rsidR="00E02E7D" w:rsidRPr="007F064F" w:rsidRDefault="00E02E7D" w:rsidP="00E02E7D">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02E7D" w:rsidRPr="007F064F" w14:paraId="1B3A1375" w14:textId="77777777" w:rsidTr="00435B85">
        <w:trPr>
          <w:trHeight w:val="845"/>
        </w:trPr>
        <w:tc>
          <w:tcPr>
            <w:tcW w:w="1135" w:type="dxa"/>
            <w:tcBorders>
              <w:top w:val="nil"/>
              <w:bottom w:val="nil"/>
              <w:right w:val="nil"/>
            </w:tcBorders>
            <w:vAlign w:val="center"/>
          </w:tcPr>
          <w:p w14:paraId="5DFE6102" w14:textId="77777777" w:rsidR="00E02E7D" w:rsidRPr="007F064F" w:rsidRDefault="00E02E7D" w:rsidP="00435B85">
            <w:pPr>
              <w:pStyle w:val="Heading3"/>
              <w:jc w:val="both"/>
              <w:rPr>
                <w:rFonts w:cs="Calibri"/>
              </w:rPr>
            </w:pPr>
            <w:r w:rsidRPr="007F064F">
              <w:rPr>
                <w:rFonts w:cs="Calibri"/>
                <w:noProof/>
                <w:lang w:val="el-GR" w:eastAsia="el-GR"/>
              </w:rPr>
              <w:drawing>
                <wp:anchor distT="0" distB="0" distL="114300" distR="114300" simplePos="0" relativeHeight="251664384" behindDoc="0" locked="0" layoutInCell="1" allowOverlap="1" wp14:anchorId="26DB7F03" wp14:editId="4DA450AF">
                  <wp:simplePos x="0" y="0"/>
                  <wp:positionH relativeFrom="column">
                    <wp:posOffset>112395</wp:posOffset>
                  </wp:positionH>
                  <wp:positionV relativeFrom="paragraph">
                    <wp:posOffset>-47625</wp:posOffset>
                  </wp:positionV>
                  <wp:extent cx="505460" cy="505460"/>
                  <wp:effectExtent l="25400" t="0" r="2540" b="0"/>
                  <wp:wrapNone/>
                  <wp:docPr id="8"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02DC7900" w14:textId="77777777" w:rsidR="00E02E7D" w:rsidRPr="007F064F" w:rsidRDefault="00E02E7D" w:rsidP="00435B85">
            <w:pPr>
              <w:jc w:val="both"/>
              <w:rPr>
                <w:rFonts w:cs="Calibri"/>
              </w:rPr>
            </w:pPr>
          </w:p>
        </w:tc>
        <w:tc>
          <w:tcPr>
            <w:tcW w:w="8159" w:type="dxa"/>
            <w:tcBorders>
              <w:left w:val="nil"/>
            </w:tcBorders>
            <w:vAlign w:val="center"/>
          </w:tcPr>
          <w:p w14:paraId="5F1A9E5C" w14:textId="77777777" w:rsidR="00E02E7D" w:rsidRPr="007F064F" w:rsidRDefault="00E02E7D" w:rsidP="00435B85">
            <w:pPr>
              <w:pStyle w:val="Subtitle"/>
              <w:jc w:val="both"/>
              <w:rPr>
                <w:rFonts w:cs="Calibri"/>
              </w:rPr>
            </w:pPr>
            <w:r w:rsidRPr="007F064F">
              <w:rPr>
                <w:rFonts w:cs="Calibri"/>
              </w:rPr>
              <w:t>School-based practical tips (focus on instructional methods)</w:t>
            </w:r>
          </w:p>
        </w:tc>
      </w:tr>
    </w:tbl>
    <w:p w14:paraId="1E09266E" w14:textId="77777777" w:rsidR="00E02E7D" w:rsidRPr="007F064F" w:rsidRDefault="00E02E7D" w:rsidP="00E02E7D">
      <w:pPr>
        <w:pStyle w:val="Heading3"/>
        <w:jc w:val="both"/>
        <w:rPr>
          <w:rFonts w:cs="Calibri"/>
        </w:rPr>
      </w:pPr>
    </w:p>
    <w:p w14:paraId="601402E8" w14:textId="77777777" w:rsidR="00E02E7D" w:rsidRPr="00E02E7D" w:rsidRDefault="00E02E7D" w:rsidP="00E02E7D">
      <w:pPr>
        <w:pStyle w:val="Heading3"/>
        <w:jc w:val="both"/>
        <w:rPr>
          <w:rFonts w:cs="Calibri"/>
          <w:b/>
        </w:rPr>
      </w:pPr>
      <w:bookmarkStart w:id="1" w:name="_GoBack"/>
      <w:r w:rsidRPr="00E02E7D">
        <w:rPr>
          <w:rFonts w:cs="Calibri"/>
          <w:b/>
        </w:rPr>
        <w:t>Community</w:t>
      </w:r>
    </w:p>
    <w:bookmarkEnd w:id="1"/>
    <w:p w14:paraId="7AC059EA" w14:textId="77777777" w:rsidR="00E02E7D" w:rsidRPr="007F064F" w:rsidRDefault="00E02E7D" w:rsidP="00E02E7D">
      <w:pPr>
        <w:rPr>
          <w:rFonts w:cs="Calibri"/>
        </w:rPr>
      </w:pPr>
    </w:p>
    <w:p w14:paraId="40466BD4" w14:textId="77777777" w:rsidR="00E02E7D" w:rsidRPr="007F064F" w:rsidRDefault="00E02E7D" w:rsidP="00E02E7D">
      <w:pPr>
        <w:pStyle w:val="ListParagraph"/>
        <w:numPr>
          <w:ilvl w:val="0"/>
          <w:numId w:val="10"/>
        </w:numPr>
        <w:jc w:val="both"/>
        <w:rPr>
          <w:rFonts w:cs="Calibri"/>
        </w:rPr>
      </w:pPr>
      <w:r w:rsidRPr="007F064F">
        <w:rPr>
          <w:rFonts w:eastAsia="Times New Roman" w:cs="Calibri"/>
          <w:b/>
          <w:szCs w:val="24"/>
        </w:rPr>
        <w:t xml:space="preserve">Arrange regular meetings between the parents and the staff to discuss pupils’ progress and to enhance the home-school collaboration. </w:t>
      </w:r>
      <w:r w:rsidRPr="007F064F">
        <w:rPr>
          <w:rFonts w:eastAsia="Times New Roman" w:cs="Calibri"/>
          <w:szCs w:val="24"/>
        </w:rPr>
        <w:t xml:space="preserve">This will help to monitor progress and to discuss other issues related to the social-emotional needs of the pupil, such as, social skills, social </w:t>
      </w:r>
      <w:r w:rsidRPr="007F064F">
        <w:rPr>
          <w:rFonts w:eastAsia="Times New Roman" w:cs="Calibri"/>
          <w:szCs w:val="24"/>
        </w:rPr>
        <w:lastRenderedPageBreak/>
        <w:t xml:space="preserve">interactions with peers and adults within the school setting, </w:t>
      </w:r>
      <w:proofErr w:type="spellStart"/>
      <w:r w:rsidRPr="007F064F">
        <w:rPr>
          <w:rFonts w:eastAsia="Times New Roman" w:cs="Calibri"/>
          <w:szCs w:val="24"/>
        </w:rPr>
        <w:t>marginalisation</w:t>
      </w:r>
      <w:proofErr w:type="spellEnd"/>
      <w:r w:rsidRPr="007F064F">
        <w:rPr>
          <w:rFonts w:eastAsia="Times New Roman" w:cs="Calibri"/>
          <w:szCs w:val="24"/>
        </w:rPr>
        <w:t xml:space="preserve">, </w:t>
      </w:r>
      <w:proofErr w:type="spellStart"/>
      <w:r w:rsidRPr="007F064F">
        <w:rPr>
          <w:rFonts w:eastAsia="Times New Roman" w:cs="Calibri"/>
          <w:szCs w:val="24"/>
        </w:rPr>
        <w:t>behaviour</w:t>
      </w:r>
      <w:proofErr w:type="spellEnd"/>
      <w:r w:rsidRPr="007F064F">
        <w:rPr>
          <w:rFonts w:eastAsia="Times New Roman" w:cs="Calibri"/>
          <w:szCs w:val="24"/>
        </w:rPr>
        <w:t xml:space="preserve"> at home, special areas of interest, and self-esteem. </w:t>
      </w:r>
      <w:r w:rsidRPr="007F064F">
        <w:rPr>
          <w:rFonts w:eastAsia="Times New Roman" w:cs="Calibri"/>
        </w:rPr>
        <w:t>(</w:t>
      </w:r>
      <w:proofErr w:type="spellStart"/>
      <w:r w:rsidRPr="007F064F">
        <w:rPr>
          <w:rFonts w:eastAsia="Times New Roman" w:cs="Calibri"/>
        </w:rPr>
        <w:t>McCaleb</w:t>
      </w:r>
      <w:proofErr w:type="spellEnd"/>
      <w:r w:rsidRPr="007F064F">
        <w:rPr>
          <w:rFonts w:eastAsia="Times New Roman" w:cs="Calibri"/>
        </w:rPr>
        <w:t>, 2013).</w:t>
      </w:r>
    </w:p>
    <w:p w14:paraId="68A38DBD" w14:textId="77777777" w:rsidR="00E02E7D" w:rsidRPr="007F064F" w:rsidRDefault="00E02E7D" w:rsidP="00E02E7D">
      <w:pPr>
        <w:pStyle w:val="ListParagraph"/>
        <w:ind w:left="1080"/>
        <w:jc w:val="both"/>
        <w:rPr>
          <w:rFonts w:cs="Calibri"/>
        </w:rPr>
      </w:pPr>
    </w:p>
    <w:p w14:paraId="658170D0" w14:textId="77777777" w:rsidR="00E02E7D" w:rsidRPr="007F064F" w:rsidRDefault="00E02E7D" w:rsidP="00E02E7D">
      <w:pPr>
        <w:pStyle w:val="ListParagraph"/>
        <w:numPr>
          <w:ilvl w:val="0"/>
          <w:numId w:val="10"/>
        </w:numPr>
        <w:jc w:val="both"/>
        <w:rPr>
          <w:rFonts w:cs="Calibri"/>
        </w:rPr>
      </w:pPr>
      <w:r w:rsidRPr="007F064F">
        <w:rPr>
          <w:rFonts w:eastAsia="Times New Roman" w:cs="Calibri"/>
          <w:b/>
          <w:szCs w:val="24"/>
        </w:rPr>
        <w:t>Promote the notion that writing constitutes an important part of our lives in conjunction with other modes of communication.</w:t>
      </w:r>
      <w:r w:rsidRPr="007F064F">
        <w:rPr>
          <w:rFonts w:eastAsia="Times New Roman" w:cs="Calibri"/>
          <w:szCs w:val="24"/>
        </w:rPr>
        <w:t xml:space="preserve"> </w:t>
      </w:r>
      <w:proofErr w:type="spellStart"/>
      <w:r w:rsidRPr="007F064F">
        <w:rPr>
          <w:rFonts w:eastAsia="Times New Roman" w:cs="Calibri"/>
          <w:szCs w:val="24"/>
        </w:rPr>
        <w:t>Organise</w:t>
      </w:r>
      <w:proofErr w:type="spellEnd"/>
      <w:r w:rsidRPr="007F064F">
        <w:rPr>
          <w:rFonts w:eastAsia="Times New Roman" w:cs="Calibri"/>
          <w:szCs w:val="24"/>
        </w:rPr>
        <w:t xml:space="preserve"> exhibitions and other events which could be attended by famous authors who can engage pupils in different activities.</w:t>
      </w:r>
    </w:p>
    <w:p w14:paraId="31D1BDA5" w14:textId="77777777" w:rsidR="00E02E7D" w:rsidRPr="007F064F" w:rsidRDefault="00E02E7D" w:rsidP="00E02E7D">
      <w:pPr>
        <w:jc w:val="both"/>
        <w:rPr>
          <w:rFonts w:cs="Calibri"/>
        </w:rPr>
      </w:pPr>
    </w:p>
    <w:p w14:paraId="566533DD" w14:textId="77777777" w:rsidR="00E02E7D" w:rsidRPr="00E02E7D" w:rsidRDefault="00E02E7D" w:rsidP="00E02E7D">
      <w:pPr>
        <w:pStyle w:val="Heading3"/>
        <w:jc w:val="both"/>
        <w:rPr>
          <w:rFonts w:cs="Calibri"/>
          <w:b/>
        </w:rPr>
      </w:pPr>
      <w:r w:rsidRPr="00E02E7D">
        <w:rPr>
          <w:rFonts w:cs="Calibri"/>
          <w:b/>
        </w:rPr>
        <w:t>Curricular Adaptations</w:t>
      </w:r>
    </w:p>
    <w:p w14:paraId="038385B9" w14:textId="77777777" w:rsidR="00E02E7D" w:rsidRPr="007F064F" w:rsidRDefault="00E02E7D" w:rsidP="00E02E7D">
      <w:pPr>
        <w:rPr>
          <w:rFonts w:cs="Calibri"/>
        </w:rPr>
      </w:pPr>
    </w:p>
    <w:p w14:paraId="67ADB4EA" w14:textId="77777777" w:rsidR="00E02E7D" w:rsidRPr="007F064F" w:rsidRDefault="00E02E7D" w:rsidP="00E02E7D">
      <w:pPr>
        <w:pStyle w:val="ListParagraph"/>
        <w:numPr>
          <w:ilvl w:val="0"/>
          <w:numId w:val="8"/>
        </w:numPr>
        <w:jc w:val="both"/>
        <w:rPr>
          <w:rFonts w:cs="Calibri"/>
        </w:rPr>
      </w:pPr>
      <w:r w:rsidRPr="007F064F">
        <w:rPr>
          <w:rFonts w:eastAsia="Times New Roman" w:cs="Calibri"/>
          <w:b/>
          <w:szCs w:val="24"/>
        </w:rPr>
        <w:t>Arrange co-teaching activities among colleagues</w:t>
      </w:r>
      <w:r w:rsidRPr="007F064F">
        <w:rPr>
          <w:rFonts w:eastAsia="Times New Roman" w:cs="Calibri"/>
          <w:szCs w:val="24"/>
        </w:rPr>
        <w:t xml:space="preserve"> that may be able to assist individual teachers in implementing additional activities/methods to further support their teaching.  Invite researchers or educational psychologists to conduct clinical observations and provide feedback, including suggestions on support strategies.</w:t>
      </w:r>
    </w:p>
    <w:p w14:paraId="0E026361" w14:textId="77777777" w:rsidR="00E02E7D" w:rsidRPr="007F064F" w:rsidRDefault="00E02E7D" w:rsidP="00E02E7D">
      <w:pPr>
        <w:pStyle w:val="ListParagraph"/>
        <w:ind w:left="1080"/>
        <w:jc w:val="both"/>
        <w:rPr>
          <w:rFonts w:cs="Calibri"/>
        </w:rPr>
      </w:pPr>
    </w:p>
    <w:p w14:paraId="0CAB4912" w14:textId="77777777" w:rsidR="00E02E7D" w:rsidRPr="007F064F" w:rsidRDefault="00E02E7D" w:rsidP="00E02E7D">
      <w:pPr>
        <w:pStyle w:val="ListParagraph"/>
        <w:numPr>
          <w:ilvl w:val="0"/>
          <w:numId w:val="8"/>
        </w:numPr>
        <w:jc w:val="both"/>
        <w:rPr>
          <w:rFonts w:cs="Calibri"/>
        </w:rPr>
      </w:pPr>
      <w:r w:rsidRPr="007F064F">
        <w:rPr>
          <w:rFonts w:eastAsia="Times New Roman" w:cs="Calibri"/>
          <w:b/>
          <w:szCs w:val="24"/>
        </w:rPr>
        <w:t>Invest in ongoing training in the form of workshops and seminars provided by educational professionals or educational psychologists</w:t>
      </w:r>
      <w:r w:rsidRPr="007F064F">
        <w:rPr>
          <w:rFonts w:eastAsia="Times New Roman" w:cs="Calibri"/>
          <w:szCs w:val="24"/>
        </w:rPr>
        <w:t xml:space="preserve"> on aspects of differentiated teaching and strategies that may better assist the needs of pupils presenting with specific learning difficulties. (Rose review, 2009)</w:t>
      </w:r>
    </w:p>
    <w:p w14:paraId="221F004C" w14:textId="77777777" w:rsidR="00E02E7D" w:rsidRPr="007F064F" w:rsidRDefault="00E02E7D" w:rsidP="00E02E7D">
      <w:pPr>
        <w:jc w:val="both"/>
        <w:rPr>
          <w:rFonts w:cs="Calibri"/>
        </w:rPr>
      </w:pPr>
    </w:p>
    <w:p w14:paraId="1A5B2566" w14:textId="77777777" w:rsidR="00E02E7D" w:rsidRPr="007F064F" w:rsidRDefault="00E02E7D" w:rsidP="00E02E7D">
      <w:pPr>
        <w:pStyle w:val="ListParagraph"/>
        <w:numPr>
          <w:ilvl w:val="0"/>
          <w:numId w:val="8"/>
        </w:numPr>
        <w:jc w:val="both"/>
        <w:rPr>
          <w:rFonts w:eastAsia="Times New Roman" w:cs="Calibri"/>
          <w:szCs w:val="24"/>
        </w:rPr>
      </w:pPr>
      <w:r w:rsidRPr="007F064F">
        <w:rPr>
          <w:rFonts w:eastAsia="Times New Roman" w:cs="Calibri"/>
          <w:b/>
          <w:szCs w:val="24"/>
        </w:rPr>
        <w:t xml:space="preserve">Make specific adaptations to the material given to these pupils. </w:t>
      </w:r>
      <w:r w:rsidRPr="007F064F">
        <w:rPr>
          <w:rFonts w:eastAsia="Times New Roman" w:cs="Calibri"/>
          <w:szCs w:val="24"/>
        </w:rPr>
        <w:t xml:space="preserve">For example:  </w:t>
      </w:r>
    </w:p>
    <w:p w14:paraId="35B67FF7" w14:textId="77777777" w:rsidR="00E02E7D" w:rsidRPr="007F064F" w:rsidDel="0067038A" w:rsidRDefault="00E02E7D" w:rsidP="00E02E7D">
      <w:pPr>
        <w:pStyle w:val="ListParagraph"/>
        <w:widowControl w:val="0"/>
        <w:numPr>
          <w:ilvl w:val="0"/>
          <w:numId w:val="9"/>
        </w:numPr>
        <w:jc w:val="both"/>
        <w:rPr>
          <w:rFonts w:cs="Calibri"/>
        </w:rPr>
      </w:pPr>
      <w:r w:rsidRPr="007F064F">
        <w:rPr>
          <w:rFonts w:eastAsia="Times New Roman" w:cs="Calibri"/>
          <w:szCs w:val="24"/>
        </w:rPr>
        <w:t>Use a plain, evenly spaced sans serif font such as Arial and Comic Sans</w:t>
      </w:r>
    </w:p>
    <w:p w14:paraId="3557EC44" w14:textId="77777777" w:rsidR="00E02E7D" w:rsidRPr="007F064F" w:rsidRDefault="00E02E7D" w:rsidP="00E02E7D">
      <w:pPr>
        <w:pStyle w:val="ListParagraph"/>
        <w:numPr>
          <w:ilvl w:val="0"/>
          <w:numId w:val="9"/>
        </w:numPr>
        <w:jc w:val="both"/>
        <w:rPr>
          <w:rFonts w:cs="Calibri"/>
        </w:rPr>
      </w:pPr>
      <w:r w:rsidRPr="007F064F">
        <w:rPr>
          <w:rFonts w:eastAsia="Times New Roman" w:cs="Calibri"/>
          <w:szCs w:val="24"/>
        </w:rPr>
        <w:t xml:space="preserve">Use cream or soft- pastel- </w:t>
      </w:r>
      <w:proofErr w:type="spellStart"/>
      <w:r w:rsidRPr="007F064F">
        <w:rPr>
          <w:rFonts w:eastAsia="Times New Roman" w:cs="Calibri"/>
          <w:szCs w:val="24"/>
        </w:rPr>
        <w:t>coloured</w:t>
      </w:r>
      <w:proofErr w:type="spellEnd"/>
      <w:r w:rsidRPr="007F064F">
        <w:rPr>
          <w:rFonts w:eastAsia="Times New Roman" w:cs="Calibri"/>
          <w:szCs w:val="24"/>
        </w:rPr>
        <w:t xml:space="preserve"> paper instead of white paper to print the activities given to the pupils.  (Hall, Meyer and Rose, 2012)</w:t>
      </w:r>
    </w:p>
    <w:p w14:paraId="090FB5C3" w14:textId="77777777" w:rsidR="00E02E7D" w:rsidRPr="007F064F" w:rsidRDefault="00E02E7D" w:rsidP="00E02E7D">
      <w:pPr>
        <w:pStyle w:val="ListParagraph"/>
        <w:ind w:left="1440"/>
        <w:jc w:val="both"/>
        <w:rPr>
          <w:rFonts w:cs="Calibri"/>
        </w:rPr>
      </w:pPr>
    </w:p>
    <w:p w14:paraId="3ABCB123" w14:textId="77777777" w:rsidR="00E02E7D" w:rsidRPr="007F064F" w:rsidRDefault="00E02E7D" w:rsidP="00E02E7D">
      <w:pPr>
        <w:pStyle w:val="ListParagraph"/>
        <w:numPr>
          <w:ilvl w:val="0"/>
          <w:numId w:val="8"/>
        </w:numPr>
        <w:jc w:val="both"/>
        <w:rPr>
          <w:rFonts w:eastAsia="Times New Roman" w:cs="Calibri"/>
          <w:szCs w:val="24"/>
        </w:rPr>
      </w:pPr>
      <w:r w:rsidRPr="007F064F">
        <w:rPr>
          <w:rFonts w:eastAsia="Times New Roman" w:cs="Calibri"/>
          <w:b/>
          <w:szCs w:val="24"/>
        </w:rPr>
        <w:t xml:space="preserve">Make curricular adaptations in terms of differentiating to the task. </w:t>
      </w:r>
      <w:r w:rsidRPr="007F064F">
        <w:rPr>
          <w:rFonts w:eastAsia="Times New Roman" w:cs="Calibri"/>
          <w:szCs w:val="24"/>
        </w:rPr>
        <w:t>Ensure you inform the teachers to make necessary adaptations to the tasks based on individual learning objectives in the curriculum and in response to the various learning needs of the pupils and the severity of</w:t>
      </w:r>
      <w:r w:rsidRPr="007F064F">
        <w:rPr>
          <w:rFonts w:eastAsia="Times New Roman" w:cs="Calibri"/>
          <w:sz w:val="24"/>
          <w:szCs w:val="24"/>
        </w:rPr>
        <w:t xml:space="preserve"> the </w:t>
      </w:r>
      <w:r w:rsidRPr="007F064F">
        <w:rPr>
          <w:rFonts w:eastAsia="Times New Roman" w:cs="Calibri"/>
          <w:szCs w:val="24"/>
        </w:rPr>
        <w:t>case (Hall, Meyer and Rose, 2012).</w:t>
      </w:r>
    </w:p>
    <w:p w14:paraId="73E46780" w14:textId="77777777" w:rsidR="00E02E7D" w:rsidRPr="007F064F" w:rsidRDefault="00E02E7D" w:rsidP="00E02E7D">
      <w:pPr>
        <w:pStyle w:val="ListParagraph"/>
        <w:ind w:left="1080"/>
        <w:jc w:val="both"/>
        <w:rPr>
          <w:rFonts w:cs="Calibri"/>
        </w:rPr>
      </w:pPr>
    </w:p>
    <w:p w14:paraId="1C6386E6" w14:textId="77777777" w:rsidR="00E02E7D" w:rsidRPr="007F064F" w:rsidRDefault="00E02E7D" w:rsidP="00E02E7D">
      <w:pPr>
        <w:pStyle w:val="ListParagraph"/>
        <w:numPr>
          <w:ilvl w:val="0"/>
          <w:numId w:val="8"/>
        </w:numPr>
        <w:jc w:val="both"/>
        <w:rPr>
          <w:rFonts w:cs="Calibri"/>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such as sand, magnetic letters and board games, and advanced technology, such as tablets and projectors, so as to attain a single learning outcome. (BDA, 2012)</w:t>
      </w:r>
    </w:p>
    <w:p w14:paraId="313AE086" w14:textId="77777777" w:rsidR="00E02E7D" w:rsidRPr="007F064F" w:rsidRDefault="00E02E7D" w:rsidP="00E02E7D">
      <w:pPr>
        <w:pStyle w:val="Heading3"/>
        <w:jc w:val="both"/>
        <w:rPr>
          <w:rFonts w:cs="Calibri"/>
        </w:rPr>
      </w:pPr>
    </w:p>
    <w:p w14:paraId="3AC44CA5" w14:textId="77777777" w:rsidR="00E02E7D" w:rsidRPr="00E02E7D" w:rsidRDefault="00E02E7D" w:rsidP="00E02E7D">
      <w:pPr>
        <w:pStyle w:val="Heading3"/>
        <w:jc w:val="both"/>
        <w:rPr>
          <w:rFonts w:cs="Calibri"/>
          <w:b/>
        </w:rPr>
      </w:pPr>
      <w:r w:rsidRPr="00E02E7D">
        <w:rPr>
          <w:rFonts w:cs="Calibri"/>
          <w:b/>
        </w:rPr>
        <w:t>Other (External Expertise)</w:t>
      </w:r>
    </w:p>
    <w:p w14:paraId="17BD3939" w14:textId="77777777" w:rsidR="00E02E7D" w:rsidRPr="007F064F" w:rsidRDefault="00E02E7D" w:rsidP="00E02E7D">
      <w:pPr>
        <w:jc w:val="both"/>
        <w:rPr>
          <w:rFonts w:eastAsia="Times New Roman" w:cs="Calibri"/>
          <w:b/>
          <w:szCs w:val="24"/>
        </w:rPr>
      </w:pPr>
    </w:p>
    <w:p w14:paraId="51490D08" w14:textId="77777777" w:rsidR="00E02E7D" w:rsidRPr="007F064F" w:rsidRDefault="00E02E7D" w:rsidP="00E02E7D">
      <w:pPr>
        <w:ind w:left="720"/>
        <w:jc w:val="both"/>
        <w:rPr>
          <w:rFonts w:cs="Calibri"/>
        </w:rPr>
      </w:pPr>
      <w:r w:rsidRPr="007F064F">
        <w:rPr>
          <w:rFonts w:eastAsia="Times New Roman" w:cs="Calibri"/>
          <w:b/>
          <w:szCs w:val="24"/>
        </w:rPr>
        <w:t xml:space="preserve">Provide training for teachers and SEN teachers from external agencies like educational psychologist services and dyslexia </w:t>
      </w:r>
      <w:proofErr w:type="spellStart"/>
      <w:r w:rsidRPr="007F064F">
        <w:rPr>
          <w:rFonts w:eastAsia="Times New Roman" w:cs="Calibri"/>
          <w:b/>
          <w:szCs w:val="24"/>
        </w:rPr>
        <w:t>organisations</w:t>
      </w:r>
      <w:proofErr w:type="spellEnd"/>
      <w:r w:rsidRPr="007F064F">
        <w:rPr>
          <w:rFonts w:eastAsia="Times New Roman" w:cs="Calibri"/>
          <w:szCs w:val="24"/>
        </w:rPr>
        <w:t>, related to pupils’ main areas of difficulty. They can also advise on the signs for early identification and assessment, and practical tips for the teachers in order to support those pupils in the class (Armstrong &amp; Squires, 2014).</w:t>
      </w:r>
    </w:p>
    <w:p w14:paraId="7A85D720" w14:textId="77777777" w:rsidR="00E02E7D" w:rsidRPr="007F064F" w:rsidRDefault="00E02E7D" w:rsidP="00E02E7D">
      <w:pPr>
        <w:pStyle w:val="ListParagraph"/>
        <w:ind w:left="1080"/>
        <w:jc w:val="both"/>
        <w:rPr>
          <w:rFonts w:cs="Calibri"/>
        </w:rPr>
      </w:pPr>
    </w:p>
    <w:p w14:paraId="7B9AE40D" w14:textId="77777777" w:rsidR="00E02E7D" w:rsidRPr="00E02E7D" w:rsidRDefault="00E02E7D" w:rsidP="00E02E7D">
      <w:pPr>
        <w:pStyle w:val="Heading3"/>
        <w:jc w:val="both"/>
        <w:rPr>
          <w:rFonts w:cs="Calibri"/>
          <w:b/>
        </w:rPr>
      </w:pPr>
      <w:r w:rsidRPr="00E02E7D">
        <w:rPr>
          <w:rFonts w:cs="Calibri"/>
          <w:b/>
        </w:rPr>
        <w:t>Parents / Parents’ Associations</w:t>
      </w:r>
    </w:p>
    <w:p w14:paraId="002BC9A0" w14:textId="77777777" w:rsidR="00E02E7D" w:rsidRPr="007F064F" w:rsidRDefault="00E02E7D" w:rsidP="00E02E7D">
      <w:pPr>
        <w:rPr>
          <w:rFonts w:cs="Calibri"/>
        </w:rPr>
      </w:pPr>
    </w:p>
    <w:p w14:paraId="2AE2BF31" w14:textId="77777777" w:rsidR="00E02E7D" w:rsidRPr="007F064F" w:rsidRDefault="00E02E7D" w:rsidP="00E02E7D">
      <w:pPr>
        <w:ind w:left="720"/>
        <w:jc w:val="both"/>
        <w:rPr>
          <w:rFonts w:cs="Calibri"/>
        </w:rPr>
      </w:pPr>
      <w:r w:rsidRPr="007F064F">
        <w:rPr>
          <w:rFonts w:eastAsia="Times New Roman" w:cs="Calibri"/>
          <w:b/>
          <w:szCs w:val="24"/>
        </w:rPr>
        <w:t xml:space="preserve">Arrange regular meetings between the parents and the staff to discuss pupils’ progress and to enhance the home-school collaboration. </w:t>
      </w:r>
      <w:r w:rsidRPr="007F064F">
        <w:rPr>
          <w:rFonts w:eastAsia="Times New Roman" w:cs="Calibri"/>
          <w:szCs w:val="24"/>
        </w:rPr>
        <w:t xml:space="preserve">This will help to monitor progress and to discuss other issues related to the social-emotional needs of the pupil, such as, social skills, social interactions with peers and adults within the school setting, </w:t>
      </w:r>
      <w:proofErr w:type="spellStart"/>
      <w:r w:rsidRPr="007F064F">
        <w:rPr>
          <w:rFonts w:eastAsia="Times New Roman" w:cs="Calibri"/>
          <w:szCs w:val="24"/>
        </w:rPr>
        <w:t>marginalisation</w:t>
      </w:r>
      <w:proofErr w:type="spellEnd"/>
      <w:r w:rsidRPr="007F064F">
        <w:rPr>
          <w:rFonts w:eastAsia="Times New Roman" w:cs="Calibri"/>
          <w:szCs w:val="24"/>
        </w:rPr>
        <w:t xml:space="preserve">, </w:t>
      </w:r>
      <w:proofErr w:type="spellStart"/>
      <w:r w:rsidRPr="007F064F">
        <w:rPr>
          <w:rFonts w:eastAsia="Times New Roman" w:cs="Calibri"/>
          <w:szCs w:val="24"/>
        </w:rPr>
        <w:t>behaviour</w:t>
      </w:r>
      <w:proofErr w:type="spellEnd"/>
      <w:r w:rsidRPr="007F064F">
        <w:rPr>
          <w:rFonts w:eastAsia="Times New Roman" w:cs="Calibri"/>
          <w:szCs w:val="24"/>
        </w:rPr>
        <w:t xml:space="preserve"> at home, special areas of interest, and self-esteem. </w:t>
      </w:r>
      <w:r w:rsidRPr="007F064F">
        <w:rPr>
          <w:rFonts w:eastAsia="Times New Roman" w:cs="Calibri"/>
        </w:rPr>
        <w:t>(</w:t>
      </w:r>
      <w:proofErr w:type="spellStart"/>
      <w:r w:rsidRPr="007F064F">
        <w:rPr>
          <w:rFonts w:eastAsia="Times New Roman" w:cs="Calibri"/>
        </w:rPr>
        <w:t>McCaleb</w:t>
      </w:r>
      <w:proofErr w:type="spellEnd"/>
      <w:r w:rsidRPr="007F064F">
        <w:rPr>
          <w:rFonts w:eastAsia="Times New Roman" w:cs="Calibri"/>
        </w:rPr>
        <w:t>, 2013).</w:t>
      </w:r>
    </w:p>
    <w:p w14:paraId="57CD79E4" w14:textId="77777777" w:rsidR="00E02E7D" w:rsidRPr="007F064F" w:rsidRDefault="00E02E7D" w:rsidP="00E02E7D">
      <w:pPr>
        <w:pStyle w:val="Heading3"/>
        <w:jc w:val="both"/>
        <w:rPr>
          <w:rFonts w:cs="Calibri"/>
        </w:rPr>
      </w:pPr>
    </w:p>
    <w:p w14:paraId="00CA05CF" w14:textId="77777777" w:rsidR="00E02E7D" w:rsidRPr="00E02E7D" w:rsidRDefault="00E02E7D" w:rsidP="00E02E7D">
      <w:pPr>
        <w:pStyle w:val="Heading3"/>
        <w:jc w:val="both"/>
        <w:rPr>
          <w:rFonts w:cs="Calibri"/>
          <w:b/>
        </w:rPr>
      </w:pPr>
      <w:r w:rsidRPr="00E02E7D">
        <w:rPr>
          <w:rFonts w:cs="Calibri"/>
          <w:b/>
        </w:rPr>
        <w:t>School Purchases</w:t>
      </w:r>
    </w:p>
    <w:p w14:paraId="614D91D7" w14:textId="77777777" w:rsidR="00E02E7D" w:rsidRPr="007F064F" w:rsidRDefault="00E02E7D" w:rsidP="00E02E7D">
      <w:pPr>
        <w:jc w:val="both"/>
        <w:rPr>
          <w:rFonts w:eastAsia="Times New Roman" w:cs="Calibri"/>
          <w:b/>
          <w:szCs w:val="24"/>
        </w:rPr>
      </w:pPr>
    </w:p>
    <w:p w14:paraId="77E0D56C" w14:textId="77777777" w:rsidR="00E02E7D" w:rsidRPr="007F064F" w:rsidRDefault="00E02E7D" w:rsidP="00E02E7D">
      <w:pPr>
        <w:ind w:left="720"/>
        <w:jc w:val="both"/>
        <w:rPr>
          <w:rFonts w:eastAsia="Times New Roman" w:cs="Calibri"/>
          <w:szCs w:val="24"/>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such as sand, magnetic letters and board games, and advanced technology, such as tablets and projectors, so as to attain a single learning outcome. (BDA, 2012)</w:t>
      </w:r>
    </w:p>
    <w:p w14:paraId="07688042" w14:textId="77777777" w:rsidR="00E02E7D" w:rsidRPr="007F064F" w:rsidRDefault="00E02E7D" w:rsidP="00E02E7D">
      <w:pPr>
        <w:jc w:val="both"/>
        <w:rPr>
          <w:rFonts w:cs="Calibri"/>
        </w:rPr>
      </w:pPr>
    </w:p>
    <w:p w14:paraId="4F0D065E" w14:textId="77777777" w:rsidR="00E02E7D" w:rsidRPr="00E02E7D" w:rsidRDefault="00E02E7D" w:rsidP="00E02E7D">
      <w:pPr>
        <w:pStyle w:val="Heading3"/>
        <w:jc w:val="both"/>
        <w:rPr>
          <w:rFonts w:cs="Calibri"/>
          <w:b/>
        </w:rPr>
      </w:pPr>
      <w:r w:rsidRPr="00E02E7D">
        <w:rPr>
          <w:rFonts w:cs="Calibri"/>
          <w:b/>
        </w:rPr>
        <w:t>Pupil Support</w:t>
      </w:r>
    </w:p>
    <w:p w14:paraId="41BA2C4D" w14:textId="77777777" w:rsidR="00E02E7D" w:rsidRPr="007F064F" w:rsidRDefault="00E02E7D" w:rsidP="00E02E7D">
      <w:pPr>
        <w:jc w:val="both"/>
        <w:rPr>
          <w:rFonts w:eastAsia="Times New Roman" w:cs="Calibri"/>
          <w:b/>
          <w:szCs w:val="24"/>
        </w:rPr>
      </w:pPr>
    </w:p>
    <w:p w14:paraId="1E424BE2" w14:textId="77777777" w:rsidR="00E02E7D" w:rsidRPr="007F064F" w:rsidRDefault="00E02E7D" w:rsidP="00E02E7D">
      <w:pPr>
        <w:ind w:left="720"/>
        <w:jc w:val="both"/>
        <w:rPr>
          <w:rFonts w:eastAsia="Times New Roman" w:cs="Calibri"/>
          <w:szCs w:val="24"/>
        </w:rPr>
      </w:pPr>
      <w:r w:rsidRPr="007F064F">
        <w:rPr>
          <w:rFonts w:eastAsia="Times New Roman" w:cs="Calibri"/>
          <w:b/>
          <w:szCs w:val="24"/>
        </w:rPr>
        <w:t>Where possible, provide additional class support,</w:t>
      </w:r>
      <w:r w:rsidRPr="007F064F">
        <w:rPr>
          <w:rFonts w:eastAsia="Times New Roman" w:cs="Calibri"/>
          <w:szCs w:val="24"/>
        </w:rPr>
        <w:t xml:space="preserve"> such as the presence of a teaching assistant, for pupils presenting with writing difficulties (BDA, 2012).</w:t>
      </w:r>
    </w:p>
    <w:p w14:paraId="7065E2A2" w14:textId="77777777" w:rsidR="00E02E7D" w:rsidRPr="007F064F" w:rsidRDefault="00E02E7D" w:rsidP="00E02E7D">
      <w:pPr>
        <w:jc w:val="both"/>
        <w:rPr>
          <w:rFonts w:cs="Calibri"/>
        </w:rPr>
      </w:pPr>
    </w:p>
    <w:p w14:paraId="0FB45046" w14:textId="77777777" w:rsidR="00E02E7D" w:rsidRPr="00E02E7D" w:rsidRDefault="00E02E7D" w:rsidP="00E02E7D">
      <w:pPr>
        <w:pStyle w:val="Heading3"/>
        <w:jc w:val="both"/>
        <w:rPr>
          <w:rFonts w:cs="Calibri"/>
          <w:b/>
        </w:rPr>
      </w:pPr>
      <w:r w:rsidRPr="00E02E7D">
        <w:rPr>
          <w:rFonts w:cs="Calibri"/>
          <w:b/>
        </w:rPr>
        <w:t>Teacher Professional Development</w:t>
      </w:r>
    </w:p>
    <w:p w14:paraId="137844CE" w14:textId="77777777" w:rsidR="00E02E7D" w:rsidRPr="007F064F" w:rsidRDefault="00E02E7D" w:rsidP="00E02E7D">
      <w:pPr>
        <w:rPr>
          <w:rFonts w:cs="Calibri"/>
        </w:rPr>
      </w:pPr>
    </w:p>
    <w:p w14:paraId="07F44F3B" w14:textId="77777777" w:rsidR="00E02E7D" w:rsidRPr="007F064F" w:rsidRDefault="00E02E7D" w:rsidP="00E02E7D">
      <w:pPr>
        <w:pStyle w:val="ListParagraph"/>
        <w:numPr>
          <w:ilvl w:val="0"/>
          <w:numId w:val="12"/>
        </w:numPr>
        <w:jc w:val="both"/>
        <w:rPr>
          <w:rFonts w:cs="Calibri"/>
        </w:rPr>
      </w:pPr>
      <w:r w:rsidRPr="007F064F">
        <w:rPr>
          <w:rFonts w:eastAsia="Times New Roman" w:cs="Calibri"/>
          <w:b/>
          <w:szCs w:val="24"/>
        </w:rPr>
        <w:t xml:space="preserve">Provide training for teachers and SEN teachers from external agencies like educational psychologist services and dyslexia </w:t>
      </w:r>
      <w:proofErr w:type="spellStart"/>
      <w:r w:rsidRPr="007F064F">
        <w:rPr>
          <w:rFonts w:eastAsia="Times New Roman" w:cs="Calibri"/>
          <w:b/>
          <w:szCs w:val="24"/>
        </w:rPr>
        <w:t>organisations</w:t>
      </w:r>
      <w:proofErr w:type="spellEnd"/>
      <w:r w:rsidRPr="007F064F">
        <w:rPr>
          <w:rFonts w:eastAsia="Times New Roman" w:cs="Calibri"/>
          <w:szCs w:val="24"/>
        </w:rPr>
        <w:t>, related to pupils’ main areas of difficulty. They can also advise on the signs for early identification and assessment, and practical tips for the teachers in order to support those pupils in the class (Armstrong &amp; Squires, 2014).</w:t>
      </w:r>
    </w:p>
    <w:p w14:paraId="42904D58" w14:textId="77777777" w:rsidR="00E02E7D" w:rsidRPr="007F064F" w:rsidRDefault="00E02E7D" w:rsidP="00E02E7D">
      <w:pPr>
        <w:pStyle w:val="ListParagraph"/>
        <w:ind w:left="1080"/>
        <w:jc w:val="both"/>
        <w:rPr>
          <w:rFonts w:cs="Calibri"/>
        </w:rPr>
      </w:pPr>
    </w:p>
    <w:p w14:paraId="34F40AAD" w14:textId="77777777" w:rsidR="00E02E7D" w:rsidRPr="007F064F" w:rsidRDefault="00E02E7D" w:rsidP="00E02E7D">
      <w:pPr>
        <w:pStyle w:val="ListParagraph"/>
        <w:numPr>
          <w:ilvl w:val="0"/>
          <w:numId w:val="12"/>
        </w:numPr>
        <w:jc w:val="both"/>
        <w:rPr>
          <w:rFonts w:cs="Calibri"/>
        </w:rPr>
      </w:pPr>
      <w:r w:rsidRPr="007F064F">
        <w:rPr>
          <w:rFonts w:eastAsia="Times New Roman" w:cs="Calibri"/>
          <w:b/>
          <w:szCs w:val="24"/>
        </w:rPr>
        <w:t>Arrange co-teaching activities among colleagues</w:t>
      </w:r>
      <w:r w:rsidRPr="007F064F">
        <w:rPr>
          <w:rFonts w:eastAsia="Times New Roman" w:cs="Calibri"/>
          <w:szCs w:val="24"/>
        </w:rPr>
        <w:t xml:space="preserve"> that may be able to assist individual teachers in implementing additional activities/methods to further support their teaching.  Invite researchers or educational psychologists to conduct clinical observations and provide feedback, including suggestions on support strategies.</w:t>
      </w:r>
    </w:p>
    <w:p w14:paraId="114A634C" w14:textId="77777777" w:rsidR="00E02E7D" w:rsidRPr="007F064F" w:rsidRDefault="00E02E7D" w:rsidP="00E02E7D">
      <w:pPr>
        <w:jc w:val="both"/>
        <w:rPr>
          <w:rFonts w:cs="Calibri"/>
        </w:rPr>
      </w:pPr>
    </w:p>
    <w:p w14:paraId="6DD002EB" w14:textId="77777777" w:rsidR="00E02E7D" w:rsidRPr="007F064F" w:rsidRDefault="00E02E7D" w:rsidP="00E02E7D">
      <w:pPr>
        <w:pStyle w:val="ListParagraph"/>
        <w:numPr>
          <w:ilvl w:val="0"/>
          <w:numId w:val="12"/>
        </w:numPr>
        <w:jc w:val="both"/>
        <w:rPr>
          <w:rFonts w:cs="Calibri"/>
        </w:rPr>
      </w:pPr>
      <w:r w:rsidRPr="007F064F">
        <w:rPr>
          <w:rFonts w:eastAsia="Times New Roman" w:cs="Calibri"/>
          <w:b/>
          <w:szCs w:val="24"/>
        </w:rPr>
        <w:t>Invest in ongoing training in the form of workshops and seminars provided by educational professionals or educational psychologists</w:t>
      </w:r>
      <w:r w:rsidRPr="007F064F">
        <w:rPr>
          <w:rFonts w:eastAsia="Times New Roman" w:cs="Calibri"/>
          <w:szCs w:val="24"/>
        </w:rPr>
        <w:t xml:space="preserve"> on aspects of differentiated teaching and strategies that may better assist the needs of pupils presenting with specific learning difficulties. (Rose review, 2009)</w:t>
      </w:r>
    </w:p>
    <w:p w14:paraId="600CE6EF" w14:textId="77777777" w:rsidR="00E02E7D" w:rsidRPr="007F064F" w:rsidRDefault="00E02E7D" w:rsidP="00E02E7D">
      <w:pPr>
        <w:pStyle w:val="Heading3"/>
        <w:jc w:val="both"/>
        <w:rPr>
          <w:rFonts w:cs="Calibri"/>
        </w:rPr>
      </w:pPr>
    </w:p>
    <w:p w14:paraId="6A043883" w14:textId="77777777" w:rsidR="00E02E7D" w:rsidRPr="00E02E7D" w:rsidRDefault="00E02E7D" w:rsidP="00E02E7D">
      <w:pPr>
        <w:pStyle w:val="Heading3"/>
        <w:jc w:val="both"/>
        <w:rPr>
          <w:rFonts w:cs="Calibri"/>
          <w:b/>
        </w:rPr>
      </w:pPr>
      <w:r w:rsidRPr="00E02E7D">
        <w:rPr>
          <w:rFonts w:cs="Calibri"/>
          <w:b/>
        </w:rPr>
        <w:t>Technology</w:t>
      </w:r>
    </w:p>
    <w:p w14:paraId="3EF8E3B0" w14:textId="77777777" w:rsidR="00E02E7D" w:rsidRPr="007F064F" w:rsidRDefault="00E02E7D" w:rsidP="00E02E7D">
      <w:pPr>
        <w:jc w:val="both"/>
        <w:rPr>
          <w:rFonts w:eastAsia="Times New Roman" w:cs="Calibri"/>
          <w:b/>
          <w:szCs w:val="24"/>
        </w:rPr>
      </w:pPr>
    </w:p>
    <w:p w14:paraId="6D43B891" w14:textId="77777777" w:rsidR="00E02E7D" w:rsidRPr="007F064F" w:rsidRDefault="00E02E7D" w:rsidP="00E02E7D">
      <w:pPr>
        <w:ind w:left="720"/>
        <w:jc w:val="both"/>
        <w:rPr>
          <w:rFonts w:cs="Calibri"/>
        </w:rPr>
      </w:pPr>
      <w:r w:rsidRPr="007F064F">
        <w:rPr>
          <w:rFonts w:eastAsia="Times New Roman" w:cs="Calibri"/>
          <w:b/>
          <w:szCs w:val="24"/>
        </w:rPr>
        <w:t>Make curricular adaptations in terms of resources.</w:t>
      </w:r>
      <w:r w:rsidRPr="007F064F">
        <w:rPr>
          <w:rFonts w:eastAsia="Times New Roman" w:cs="Calibri"/>
          <w:szCs w:val="24"/>
        </w:rPr>
        <w:t xml:space="preserve"> If feasible, equip the classrooms in which there are pupils exhibiting specific learning difficulties with different and adapted materials such as sand, magnetic letters and board games, and advanced technology, such as tablets and projectors, so as to attain a single learning outcome. (BDA, 2012)</w:t>
      </w:r>
    </w:p>
    <w:p w14:paraId="5A0C8683" w14:textId="77777777" w:rsidR="00E02E7D" w:rsidRPr="007F064F" w:rsidRDefault="00E02E7D" w:rsidP="00E02E7D">
      <w:pPr>
        <w:jc w:val="both"/>
        <w:rPr>
          <w:rFonts w:cs="Calibri"/>
        </w:rPr>
      </w:pPr>
    </w:p>
    <w:p w14:paraId="2D9148E6" w14:textId="77777777" w:rsidR="00E02E7D" w:rsidRPr="007F064F" w:rsidRDefault="00E02E7D" w:rsidP="00E02E7D">
      <w:pPr>
        <w:jc w:val="both"/>
        <w:rPr>
          <w:rFonts w:cs="Calibri"/>
        </w:rPr>
      </w:pPr>
    </w:p>
    <w:p w14:paraId="39A67C51" w14:textId="77777777" w:rsidR="00E02E7D" w:rsidRPr="00E02E7D" w:rsidRDefault="00E02E7D" w:rsidP="00E02E7D">
      <w:pPr>
        <w:pStyle w:val="Heading3"/>
        <w:jc w:val="both"/>
        <w:rPr>
          <w:rFonts w:cs="Calibri"/>
          <w:b/>
        </w:rPr>
      </w:pPr>
      <w:r w:rsidRPr="00E02E7D">
        <w:rPr>
          <w:rFonts w:cs="Calibri"/>
          <w:b/>
        </w:rPr>
        <w:t>Supportive Literature</w:t>
      </w:r>
    </w:p>
    <w:p w14:paraId="42FC0452" w14:textId="77777777" w:rsidR="00E02E7D" w:rsidRPr="007F064F" w:rsidRDefault="00E02E7D" w:rsidP="00E02E7D">
      <w:pPr>
        <w:spacing w:before="240" w:after="240"/>
        <w:jc w:val="both"/>
        <w:rPr>
          <w:rFonts w:cs="Calibri"/>
        </w:rPr>
      </w:pPr>
      <w:r w:rsidRPr="007F064F">
        <w:rPr>
          <w:rFonts w:eastAsia="Times New Roman" w:cs="Calibri"/>
          <w:b/>
          <w:szCs w:val="24"/>
        </w:rPr>
        <w:t xml:space="preserve">Definition:  </w:t>
      </w:r>
      <w:r w:rsidRPr="007F064F">
        <w:rPr>
          <w:rFonts w:eastAsia="Times New Roman" w:cs="Calibri"/>
          <w:szCs w:val="24"/>
        </w:rPr>
        <w:t>Pupils with learning disabilities perform significantly lower than their age-matched peers without disabilities on all written expression tasks, including the transcription of handwriting, spelling, punctuation, vocabulary, grammar, and expository writing (</w:t>
      </w:r>
      <w:r w:rsidRPr="007F064F">
        <w:rPr>
          <w:rFonts w:eastAsia="Times New Roman" w:cs="Calibri"/>
          <w:szCs w:val="24"/>
          <w:highlight w:val="white"/>
        </w:rPr>
        <w:t xml:space="preserve">De La Paz and Graham 1997; </w:t>
      </w:r>
      <w:proofErr w:type="spellStart"/>
      <w:r w:rsidRPr="007F064F">
        <w:rPr>
          <w:rFonts w:eastAsia="Times New Roman" w:cs="Calibri"/>
          <w:szCs w:val="24"/>
          <w:highlight w:val="white"/>
        </w:rPr>
        <w:t>Englert</w:t>
      </w:r>
      <w:proofErr w:type="spellEnd"/>
      <w:r w:rsidRPr="007F064F">
        <w:rPr>
          <w:rFonts w:eastAsia="Times New Roman" w:cs="Calibri"/>
          <w:szCs w:val="24"/>
          <w:highlight w:val="white"/>
        </w:rPr>
        <w:t>, Wu and Zhao, 2005).</w:t>
      </w:r>
    </w:p>
    <w:p w14:paraId="593E8FE9" w14:textId="77777777" w:rsidR="00E02E7D" w:rsidRPr="007F064F" w:rsidRDefault="00E02E7D" w:rsidP="00E02E7D">
      <w:pPr>
        <w:jc w:val="both"/>
        <w:rPr>
          <w:rFonts w:eastAsia="Times New Roman" w:cs="Calibri"/>
          <w:b/>
          <w:szCs w:val="24"/>
        </w:rPr>
      </w:pPr>
    </w:p>
    <w:p w14:paraId="5023BA7B" w14:textId="77777777" w:rsidR="00E02E7D" w:rsidRPr="007F064F" w:rsidRDefault="00E02E7D" w:rsidP="00E02E7D">
      <w:pPr>
        <w:jc w:val="both"/>
        <w:rPr>
          <w:rFonts w:eastAsia="Times New Roman" w:cs="Calibri"/>
          <w:b/>
          <w:szCs w:val="24"/>
        </w:rPr>
      </w:pPr>
    </w:p>
    <w:p w14:paraId="05B5DC8D" w14:textId="77777777" w:rsidR="00E02E7D" w:rsidRPr="007F064F" w:rsidRDefault="00E02E7D" w:rsidP="00E02E7D">
      <w:pPr>
        <w:jc w:val="both"/>
        <w:rPr>
          <w:rFonts w:cs="Calibri"/>
        </w:rPr>
      </w:pPr>
      <w:r w:rsidRPr="007F064F">
        <w:rPr>
          <w:rFonts w:eastAsia="Times New Roman" w:cs="Calibri"/>
          <w:b/>
          <w:szCs w:val="24"/>
        </w:rPr>
        <w:lastRenderedPageBreak/>
        <w:t xml:space="preserve">Characteristics: </w:t>
      </w:r>
    </w:p>
    <w:p w14:paraId="2CDAB4DC" w14:textId="77777777" w:rsidR="00E02E7D" w:rsidRPr="007F064F" w:rsidRDefault="00E02E7D" w:rsidP="00E02E7D">
      <w:pPr>
        <w:pStyle w:val="ListParagraph"/>
        <w:widowControl w:val="0"/>
        <w:numPr>
          <w:ilvl w:val="0"/>
          <w:numId w:val="11"/>
        </w:numPr>
        <w:spacing w:before="240" w:after="240"/>
        <w:jc w:val="both"/>
        <w:rPr>
          <w:rFonts w:cs="Calibri"/>
          <w:szCs w:val="24"/>
        </w:rPr>
      </w:pPr>
      <w:r w:rsidRPr="007F064F">
        <w:rPr>
          <w:rFonts w:eastAsia="Times New Roman" w:cs="Calibri"/>
          <w:szCs w:val="24"/>
        </w:rPr>
        <w:t>Pupils with written language deficits tend to demonstrate minimal planning, effort and meta-cognitive control in terms of writing.</w:t>
      </w:r>
    </w:p>
    <w:p w14:paraId="5D593922" w14:textId="77777777" w:rsidR="00E02E7D" w:rsidRPr="007F064F" w:rsidRDefault="00E02E7D" w:rsidP="00E02E7D">
      <w:pPr>
        <w:pStyle w:val="ListParagraph"/>
        <w:widowControl w:val="0"/>
        <w:numPr>
          <w:ilvl w:val="0"/>
          <w:numId w:val="11"/>
        </w:numPr>
        <w:spacing w:before="240" w:after="240"/>
        <w:jc w:val="both"/>
        <w:rPr>
          <w:rFonts w:cs="Calibri"/>
          <w:szCs w:val="24"/>
        </w:rPr>
      </w:pPr>
      <w:r w:rsidRPr="007F064F">
        <w:rPr>
          <w:rFonts w:eastAsia="Times New Roman" w:cs="Calibri"/>
          <w:szCs w:val="24"/>
        </w:rPr>
        <w:t>Pupils with writing deficits also experience difficulties with spelling, grammar and punctuation</w:t>
      </w:r>
    </w:p>
    <w:p w14:paraId="42F1A5B1" w14:textId="77777777" w:rsidR="00E02E7D" w:rsidRPr="007F064F" w:rsidRDefault="00E02E7D" w:rsidP="00E02E7D">
      <w:pPr>
        <w:pStyle w:val="ListParagraph"/>
        <w:numPr>
          <w:ilvl w:val="0"/>
          <w:numId w:val="11"/>
        </w:numPr>
        <w:jc w:val="both"/>
        <w:rPr>
          <w:rFonts w:cs="Calibri"/>
        </w:rPr>
      </w:pPr>
      <w:r w:rsidRPr="007F064F">
        <w:rPr>
          <w:rFonts w:eastAsia="Times New Roman" w:cs="Calibri"/>
          <w:szCs w:val="24"/>
        </w:rPr>
        <w:t xml:space="preserve">Pupils with written language deficits produce poorly </w:t>
      </w:r>
      <w:proofErr w:type="spellStart"/>
      <w:r w:rsidRPr="007F064F">
        <w:rPr>
          <w:rFonts w:eastAsia="Times New Roman" w:cs="Calibri"/>
          <w:szCs w:val="24"/>
        </w:rPr>
        <w:t>organised</w:t>
      </w:r>
      <w:proofErr w:type="spellEnd"/>
      <w:r w:rsidRPr="007F064F">
        <w:rPr>
          <w:rFonts w:eastAsia="Times New Roman" w:cs="Calibri"/>
          <w:szCs w:val="24"/>
        </w:rPr>
        <w:t xml:space="preserve"> compositions containing a poorly developed ideas. (</w:t>
      </w:r>
      <w:proofErr w:type="spellStart"/>
      <w:r w:rsidRPr="007F064F">
        <w:rPr>
          <w:rFonts w:eastAsia="Times New Roman" w:cs="Calibri"/>
          <w:szCs w:val="24"/>
        </w:rPr>
        <w:t>Heward</w:t>
      </w:r>
      <w:proofErr w:type="spellEnd"/>
      <w:r w:rsidRPr="007F064F">
        <w:rPr>
          <w:rFonts w:eastAsia="Times New Roman" w:cs="Calibri"/>
          <w:szCs w:val="24"/>
        </w:rPr>
        <w:t xml:space="preserve">, 2013)                                                                                                </w:t>
      </w:r>
    </w:p>
    <w:p w14:paraId="4B6E570F" w14:textId="77777777" w:rsidR="00E02E7D" w:rsidRPr="007F064F" w:rsidRDefault="00E02E7D" w:rsidP="00E02E7D">
      <w:pPr>
        <w:pStyle w:val="Heading3"/>
        <w:jc w:val="both"/>
        <w:rPr>
          <w:rFonts w:cs="Calibri"/>
          <w:sz w:val="22"/>
          <w:szCs w:val="22"/>
        </w:rPr>
      </w:pPr>
    </w:p>
    <w:p w14:paraId="630EB988" w14:textId="77777777" w:rsidR="00E02E7D" w:rsidRPr="007F064F" w:rsidRDefault="00E02E7D" w:rsidP="00E02E7D">
      <w:pPr>
        <w:rPr>
          <w:rFonts w:cs="Calibri"/>
        </w:rPr>
      </w:pPr>
    </w:p>
    <w:p w14:paraId="46F08380" w14:textId="77777777" w:rsidR="00E02E7D" w:rsidRPr="00E02E7D" w:rsidRDefault="00E02E7D" w:rsidP="00E02E7D">
      <w:pPr>
        <w:pStyle w:val="Heading3"/>
        <w:jc w:val="both"/>
        <w:rPr>
          <w:rFonts w:cs="Calibri"/>
          <w:b/>
        </w:rPr>
      </w:pPr>
      <w:r w:rsidRPr="00E02E7D">
        <w:rPr>
          <w:rFonts w:cs="Calibri"/>
          <w:b/>
        </w:rPr>
        <w:t>Websites and EU Reports</w:t>
      </w:r>
    </w:p>
    <w:p w14:paraId="13F1B153" w14:textId="77777777" w:rsidR="00E02E7D" w:rsidRPr="007F064F" w:rsidRDefault="00E02E7D" w:rsidP="00E02E7D">
      <w:pPr>
        <w:pStyle w:val="Heading3"/>
        <w:jc w:val="both"/>
        <w:rPr>
          <w:rFonts w:cs="Calibri"/>
        </w:rPr>
      </w:pPr>
    </w:p>
    <w:p w14:paraId="3A2C7F3D" w14:textId="77777777" w:rsidR="00E02E7D" w:rsidRPr="007F064F" w:rsidRDefault="00E02E7D" w:rsidP="00E02E7D">
      <w:pPr>
        <w:jc w:val="both"/>
        <w:rPr>
          <w:rFonts w:cs="Calibri"/>
        </w:rPr>
      </w:pPr>
      <w:hyperlink r:id="rId13">
        <w:r w:rsidRPr="007F064F">
          <w:rPr>
            <w:rFonts w:eastAsia="Times New Roman" w:cs="Calibri"/>
            <w:color w:val="0000FF"/>
            <w:szCs w:val="24"/>
          </w:rPr>
          <w:t>http://eacea.ec.europa.eu/education/eurydice/documents/key_data_series/129en.pdf</w:t>
        </w:r>
      </w:hyperlink>
    </w:p>
    <w:p w14:paraId="581A28F1" w14:textId="77777777" w:rsidR="00E02E7D" w:rsidRPr="007F064F" w:rsidRDefault="00E02E7D" w:rsidP="00E02E7D">
      <w:pPr>
        <w:jc w:val="both"/>
        <w:rPr>
          <w:rFonts w:cs="Calibri"/>
        </w:rPr>
      </w:pPr>
    </w:p>
    <w:p w14:paraId="7EA180F6" w14:textId="77777777" w:rsidR="00E02E7D" w:rsidRPr="007F064F" w:rsidRDefault="00E02E7D" w:rsidP="00E02E7D">
      <w:pPr>
        <w:jc w:val="both"/>
        <w:rPr>
          <w:rFonts w:cs="Calibri"/>
        </w:rPr>
      </w:pPr>
      <w:proofErr w:type="spellStart"/>
      <w:r w:rsidRPr="007F064F">
        <w:rPr>
          <w:rFonts w:eastAsia="Times New Roman" w:cs="Calibri"/>
          <w:color w:val="222222"/>
          <w:szCs w:val="24"/>
          <w:highlight w:val="white"/>
        </w:rPr>
        <w:t>Balanskat</w:t>
      </w:r>
      <w:proofErr w:type="spellEnd"/>
      <w:r w:rsidRPr="007F064F">
        <w:rPr>
          <w:rFonts w:eastAsia="Times New Roman" w:cs="Calibri"/>
          <w:color w:val="222222"/>
          <w:szCs w:val="24"/>
          <w:highlight w:val="white"/>
        </w:rPr>
        <w:t xml:space="preserve">, A., </w:t>
      </w:r>
      <w:proofErr w:type="spellStart"/>
      <w:r w:rsidRPr="007F064F">
        <w:rPr>
          <w:rFonts w:eastAsia="Times New Roman" w:cs="Calibri"/>
          <w:color w:val="222222"/>
          <w:szCs w:val="24"/>
          <w:highlight w:val="white"/>
        </w:rPr>
        <w:t>Blamire</w:t>
      </w:r>
      <w:proofErr w:type="spellEnd"/>
      <w:r w:rsidRPr="007F064F">
        <w:rPr>
          <w:rFonts w:eastAsia="Times New Roman" w:cs="Calibri"/>
          <w:color w:val="222222"/>
          <w:szCs w:val="24"/>
          <w:highlight w:val="white"/>
        </w:rPr>
        <w:t xml:space="preserve">, R., &amp; </w:t>
      </w:r>
      <w:proofErr w:type="spellStart"/>
      <w:r w:rsidRPr="007F064F">
        <w:rPr>
          <w:rFonts w:eastAsia="Times New Roman" w:cs="Calibri"/>
          <w:color w:val="222222"/>
          <w:szCs w:val="24"/>
          <w:highlight w:val="white"/>
        </w:rPr>
        <w:t>Kefala</w:t>
      </w:r>
      <w:proofErr w:type="spellEnd"/>
      <w:r w:rsidRPr="007F064F">
        <w:rPr>
          <w:rFonts w:eastAsia="Times New Roman" w:cs="Calibri"/>
          <w:color w:val="222222"/>
          <w:szCs w:val="24"/>
          <w:highlight w:val="white"/>
        </w:rPr>
        <w:t>, S. (2006). The ICT impact report. </w:t>
      </w:r>
      <w:r w:rsidRPr="007F064F">
        <w:rPr>
          <w:rFonts w:eastAsia="Times New Roman" w:cs="Calibri"/>
          <w:i/>
          <w:color w:val="222222"/>
          <w:szCs w:val="24"/>
          <w:highlight w:val="white"/>
        </w:rPr>
        <w:t xml:space="preserve">European </w:t>
      </w:r>
      <w:proofErr w:type="spellStart"/>
      <w:r w:rsidRPr="007F064F">
        <w:rPr>
          <w:rFonts w:eastAsia="Times New Roman" w:cs="Calibri"/>
          <w:i/>
          <w:color w:val="222222"/>
          <w:szCs w:val="24"/>
          <w:highlight w:val="white"/>
        </w:rPr>
        <w:t>Schoolnet</w:t>
      </w:r>
      <w:proofErr w:type="spellEnd"/>
      <w:r w:rsidRPr="007F064F">
        <w:rPr>
          <w:rFonts w:eastAsia="Times New Roman" w:cs="Calibri"/>
          <w:color w:val="222222"/>
          <w:szCs w:val="24"/>
          <w:highlight w:val="white"/>
        </w:rPr>
        <w:t>.</w:t>
      </w:r>
    </w:p>
    <w:p w14:paraId="14DD4E49" w14:textId="77777777" w:rsidR="00E02E7D" w:rsidRPr="007F064F" w:rsidRDefault="00E02E7D" w:rsidP="00E02E7D">
      <w:pPr>
        <w:jc w:val="both"/>
        <w:rPr>
          <w:rFonts w:cs="Calibri"/>
        </w:rPr>
      </w:pPr>
      <w:hyperlink r:id="rId14">
        <w:r w:rsidRPr="007F064F">
          <w:rPr>
            <w:rFonts w:eastAsia="Times New Roman" w:cs="Calibri"/>
            <w:color w:val="0000FF"/>
            <w:szCs w:val="24"/>
          </w:rPr>
          <w:t>https://www.european-agency.org/sites/default/files/Lithuania.pdf</w:t>
        </w:r>
      </w:hyperlink>
    </w:p>
    <w:p w14:paraId="0911162C" w14:textId="77777777" w:rsidR="00E02E7D" w:rsidRPr="007F064F" w:rsidRDefault="00E02E7D" w:rsidP="00E02E7D">
      <w:pPr>
        <w:jc w:val="both"/>
        <w:rPr>
          <w:rFonts w:cs="Calibri"/>
          <w:b/>
          <w:i/>
          <w:sz w:val="28"/>
        </w:rPr>
      </w:pPr>
    </w:p>
    <w:p w14:paraId="6F8C4CAE" w14:textId="77777777" w:rsidR="00E02E7D" w:rsidRPr="007F064F" w:rsidRDefault="00E02E7D" w:rsidP="00E02E7D">
      <w:pPr>
        <w:pStyle w:val="Heading4"/>
        <w:rPr>
          <w:rFonts w:cs="Calibri"/>
        </w:rPr>
      </w:pPr>
      <w:r w:rsidRPr="007F064F">
        <w:rPr>
          <w:rFonts w:cs="Calibri"/>
        </w:rPr>
        <w:t>References</w:t>
      </w:r>
    </w:p>
    <w:p w14:paraId="74669FFA" w14:textId="77777777" w:rsidR="00E02E7D" w:rsidRPr="007F064F" w:rsidRDefault="00E02E7D" w:rsidP="00E02E7D">
      <w:pPr>
        <w:jc w:val="both"/>
        <w:rPr>
          <w:rFonts w:cs="Calibri"/>
        </w:rPr>
      </w:pPr>
    </w:p>
    <w:p w14:paraId="201421E6"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Alber</w:t>
      </w:r>
      <w:proofErr w:type="spellEnd"/>
      <w:r w:rsidRPr="007F064F">
        <w:rPr>
          <w:rFonts w:eastAsia="Times New Roman" w:cs="Calibri"/>
          <w:sz w:val="16"/>
          <w:szCs w:val="24"/>
          <w:highlight w:val="white"/>
        </w:rPr>
        <w:t>-Morgan, S. R. (2006). Ten ways to enhance the effectiveness of repeated readings. </w:t>
      </w:r>
      <w:r w:rsidRPr="007F064F">
        <w:rPr>
          <w:rFonts w:eastAsia="Times New Roman" w:cs="Calibri"/>
          <w:i/>
          <w:sz w:val="16"/>
          <w:szCs w:val="24"/>
          <w:highlight w:val="white"/>
        </w:rPr>
        <w:t>Journal of Early and Intensive Behavior Intervention</w:t>
      </w:r>
      <w:r w:rsidRPr="007F064F">
        <w:rPr>
          <w:rFonts w:eastAsia="Times New Roman" w:cs="Calibri"/>
          <w:sz w:val="16"/>
          <w:szCs w:val="24"/>
          <w:highlight w:val="white"/>
        </w:rPr>
        <w:t>, </w:t>
      </w:r>
      <w:r w:rsidRPr="007F064F">
        <w:rPr>
          <w:rFonts w:eastAsia="Times New Roman" w:cs="Calibri"/>
          <w:i/>
          <w:sz w:val="16"/>
          <w:szCs w:val="24"/>
          <w:highlight w:val="white"/>
        </w:rPr>
        <w:t>3</w:t>
      </w:r>
      <w:r w:rsidRPr="007F064F">
        <w:rPr>
          <w:rFonts w:eastAsia="Times New Roman" w:cs="Calibri"/>
          <w:sz w:val="16"/>
          <w:szCs w:val="24"/>
          <w:highlight w:val="white"/>
        </w:rPr>
        <w:t>(3), 273.</w:t>
      </w:r>
    </w:p>
    <w:p w14:paraId="3F653392" w14:textId="77777777" w:rsidR="00E02E7D" w:rsidRPr="007F064F" w:rsidRDefault="00E02E7D" w:rsidP="00E02E7D">
      <w:pPr>
        <w:jc w:val="both"/>
        <w:rPr>
          <w:rFonts w:cs="Calibri"/>
          <w:sz w:val="16"/>
        </w:rPr>
      </w:pPr>
    </w:p>
    <w:p w14:paraId="287838AA" w14:textId="77777777" w:rsidR="00E02E7D" w:rsidRPr="007F064F" w:rsidRDefault="00E02E7D" w:rsidP="00E02E7D">
      <w:pPr>
        <w:jc w:val="both"/>
        <w:rPr>
          <w:rFonts w:cs="Calibri"/>
          <w:sz w:val="16"/>
        </w:rPr>
      </w:pPr>
      <w:r w:rsidRPr="007F064F">
        <w:rPr>
          <w:rFonts w:eastAsia="Times New Roman" w:cs="Calibri"/>
          <w:sz w:val="16"/>
          <w:szCs w:val="24"/>
          <w:highlight w:val="white"/>
        </w:rPr>
        <w:t>Armstrong, D. and Squires, G., (2014). </w:t>
      </w:r>
      <w:r w:rsidRPr="007F064F">
        <w:rPr>
          <w:rFonts w:eastAsia="Times New Roman" w:cs="Calibri"/>
          <w:i/>
          <w:sz w:val="16"/>
          <w:szCs w:val="24"/>
          <w:highlight w:val="white"/>
        </w:rPr>
        <w:t>Key Perspectives on Dyslexia: An essential text for educators</w:t>
      </w:r>
      <w:r w:rsidRPr="007F064F">
        <w:rPr>
          <w:rFonts w:eastAsia="Times New Roman" w:cs="Calibri"/>
          <w:sz w:val="16"/>
          <w:szCs w:val="24"/>
          <w:highlight w:val="white"/>
        </w:rPr>
        <w:t>. Routledge.</w:t>
      </w:r>
    </w:p>
    <w:p w14:paraId="27229652"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Chera</w:t>
      </w:r>
      <w:proofErr w:type="spellEnd"/>
      <w:r w:rsidRPr="007F064F">
        <w:rPr>
          <w:rFonts w:eastAsia="Times New Roman" w:cs="Calibri"/>
          <w:sz w:val="16"/>
          <w:szCs w:val="24"/>
          <w:highlight w:val="white"/>
        </w:rPr>
        <w:t>, P., &amp; Wood, C. (2003). Animated multimedia ‘talking books’ can promote phonological awareness in children beginning to read. </w:t>
      </w:r>
      <w:r w:rsidRPr="007F064F">
        <w:rPr>
          <w:rFonts w:eastAsia="Times New Roman" w:cs="Calibri"/>
          <w:i/>
          <w:sz w:val="16"/>
          <w:szCs w:val="24"/>
          <w:highlight w:val="white"/>
        </w:rPr>
        <w:t>Learning and instruction</w:t>
      </w:r>
      <w:r w:rsidRPr="007F064F">
        <w:rPr>
          <w:rFonts w:eastAsia="Times New Roman" w:cs="Calibri"/>
          <w:sz w:val="16"/>
          <w:szCs w:val="24"/>
          <w:highlight w:val="white"/>
        </w:rPr>
        <w:t>, </w:t>
      </w:r>
      <w:r w:rsidRPr="007F064F">
        <w:rPr>
          <w:rFonts w:eastAsia="Times New Roman" w:cs="Calibri"/>
          <w:i/>
          <w:sz w:val="16"/>
          <w:szCs w:val="24"/>
          <w:highlight w:val="white"/>
        </w:rPr>
        <w:t>13</w:t>
      </w:r>
      <w:r w:rsidRPr="007F064F">
        <w:rPr>
          <w:rFonts w:eastAsia="Times New Roman" w:cs="Calibri"/>
          <w:sz w:val="16"/>
          <w:szCs w:val="24"/>
          <w:highlight w:val="white"/>
        </w:rPr>
        <w:t>(1), 33-52.</w:t>
      </w:r>
    </w:p>
    <w:p w14:paraId="74ED82FB" w14:textId="77777777" w:rsidR="00E02E7D" w:rsidRPr="007F064F" w:rsidRDefault="00E02E7D" w:rsidP="00E02E7D">
      <w:pPr>
        <w:jc w:val="both"/>
        <w:rPr>
          <w:rFonts w:eastAsia="Times New Roman" w:cs="Calibri"/>
          <w:sz w:val="16"/>
          <w:szCs w:val="24"/>
        </w:rPr>
      </w:pPr>
    </w:p>
    <w:p w14:paraId="56C6C40E" w14:textId="77777777" w:rsidR="00E02E7D" w:rsidRPr="007F064F" w:rsidRDefault="00E02E7D" w:rsidP="00E02E7D">
      <w:pPr>
        <w:jc w:val="both"/>
        <w:rPr>
          <w:rFonts w:cs="Calibri"/>
          <w:sz w:val="16"/>
        </w:rPr>
      </w:pPr>
      <w:r w:rsidRPr="007F064F">
        <w:rPr>
          <w:rFonts w:eastAsia="Times New Roman" w:cs="Calibri"/>
          <w:sz w:val="16"/>
          <w:szCs w:val="24"/>
          <w:highlight w:val="white"/>
        </w:rPr>
        <w:t>De La Paz, S., &amp; Graham, S. (1997). Strategy instruction in planning: Effects on the writing performance and behavior of students with learning difficulties. </w:t>
      </w:r>
      <w:r w:rsidRPr="007F064F">
        <w:rPr>
          <w:rFonts w:eastAsia="Times New Roman" w:cs="Calibri"/>
          <w:i/>
          <w:sz w:val="16"/>
          <w:szCs w:val="24"/>
          <w:highlight w:val="white"/>
        </w:rPr>
        <w:t>Exceptional Children</w:t>
      </w:r>
      <w:r w:rsidRPr="007F064F">
        <w:rPr>
          <w:rFonts w:eastAsia="Times New Roman" w:cs="Calibri"/>
          <w:sz w:val="16"/>
          <w:szCs w:val="24"/>
          <w:highlight w:val="white"/>
        </w:rPr>
        <w:t>, </w:t>
      </w:r>
      <w:r w:rsidRPr="007F064F">
        <w:rPr>
          <w:rFonts w:eastAsia="Times New Roman" w:cs="Calibri"/>
          <w:i/>
          <w:sz w:val="16"/>
          <w:szCs w:val="24"/>
          <w:highlight w:val="white"/>
        </w:rPr>
        <w:t>63</w:t>
      </w:r>
      <w:r w:rsidRPr="007F064F">
        <w:rPr>
          <w:rFonts w:eastAsia="Times New Roman" w:cs="Calibri"/>
          <w:sz w:val="16"/>
          <w:szCs w:val="24"/>
          <w:highlight w:val="white"/>
        </w:rPr>
        <w:t>(2), 167-181.</w:t>
      </w:r>
    </w:p>
    <w:p w14:paraId="225C2414" w14:textId="77777777" w:rsidR="00E02E7D" w:rsidRPr="007F064F" w:rsidRDefault="00E02E7D" w:rsidP="00E02E7D">
      <w:pPr>
        <w:jc w:val="both"/>
        <w:rPr>
          <w:rFonts w:cs="Calibri"/>
          <w:sz w:val="16"/>
        </w:rPr>
      </w:pPr>
    </w:p>
    <w:p w14:paraId="43E0E8AF"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Englert</w:t>
      </w:r>
      <w:proofErr w:type="spellEnd"/>
      <w:r w:rsidRPr="007F064F">
        <w:rPr>
          <w:rFonts w:eastAsia="Times New Roman" w:cs="Calibri"/>
          <w:sz w:val="16"/>
          <w:szCs w:val="24"/>
          <w:highlight w:val="white"/>
        </w:rPr>
        <w:t>, C. S., Wu, X., &amp; Zhao, Y. (2005). Cognitive tools for writing: Scaffolding the performance of students through technology. </w:t>
      </w:r>
      <w:r w:rsidRPr="007F064F">
        <w:rPr>
          <w:rFonts w:eastAsia="Times New Roman" w:cs="Calibri"/>
          <w:i/>
          <w:sz w:val="16"/>
          <w:szCs w:val="24"/>
          <w:highlight w:val="white"/>
        </w:rPr>
        <w:t>Learning Disabilities Research &amp; Practice</w:t>
      </w:r>
      <w:r w:rsidRPr="007F064F">
        <w:rPr>
          <w:rFonts w:eastAsia="Times New Roman" w:cs="Calibri"/>
          <w:sz w:val="16"/>
          <w:szCs w:val="24"/>
          <w:highlight w:val="white"/>
        </w:rPr>
        <w:t>, </w:t>
      </w:r>
      <w:r w:rsidRPr="007F064F">
        <w:rPr>
          <w:rFonts w:eastAsia="Times New Roman" w:cs="Calibri"/>
          <w:i/>
          <w:sz w:val="16"/>
          <w:szCs w:val="24"/>
          <w:highlight w:val="white"/>
        </w:rPr>
        <w:t>20</w:t>
      </w:r>
      <w:r w:rsidRPr="007F064F">
        <w:rPr>
          <w:rFonts w:eastAsia="Times New Roman" w:cs="Calibri"/>
          <w:sz w:val="16"/>
          <w:szCs w:val="24"/>
          <w:highlight w:val="white"/>
        </w:rPr>
        <w:t>(3), 184-198.</w:t>
      </w:r>
    </w:p>
    <w:p w14:paraId="264B5E1D" w14:textId="77777777" w:rsidR="00E02E7D" w:rsidRPr="007F064F" w:rsidRDefault="00E02E7D" w:rsidP="00E02E7D">
      <w:pPr>
        <w:jc w:val="both"/>
        <w:rPr>
          <w:rFonts w:cs="Calibri"/>
          <w:sz w:val="16"/>
        </w:rPr>
      </w:pPr>
    </w:p>
    <w:p w14:paraId="34663E86" w14:textId="77777777" w:rsidR="00E02E7D" w:rsidRPr="007F064F" w:rsidRDefault="00E02E7D" w:rsidP="00E02E7D">
      <w:pPr>
        <w:jc w:val="both"/>
        <w:rPr>
          <w:rFonts w:cs="Calibri"/>
          <w:sz w:val="16"/>
        </w:rPr>
      </w:pPr>
      <w:proofErr w:type="spellStart"/>
      <w:r w:rsidRPr="007F064F">
        <w:rPr>
          <w:rFonts w:eastAsia="Times New Roman" w:cs="Calibri"/>
          <w:sz w:val="16"/>
          <w:szCs w:val="24"/>
          <w:highlight w:val="white"/>
        </w:rPr>
        <w:t>Genlott</w:t>
      </w:r>
      <w:proofErr w:type="spellEnd"/>
      <w:r w:rsidRPr="007F064F">
        <w:rPr>
          <w:rFonts w:eastAsia="Times New Roman" w:cs="Calibri"/>
          <w:sz w:val="16"/>
          <w:szCs w:val="24"/>
          <w:highlight w:val="white"/>
        </w:rPr>
        <w:t xml:space="preserve">, A. A., &amp; </w:t>
      </w:r>
      <w:proofErr w:type="spellStart"/>
      <w:r w:rsidRPr="007F064F">
        <w:rPr>
          <w:rFonts w:eastAsia="Times New Roman" w:cs="Calibri"/>
          <w:sz w:val="16"/>
          <w:szCs w:val="24"/>
          <w:highlight w:val="white"/>
        </w:rPr>
        <w:t>Grönlund</w:t>
      </w:r>
      <w:proofErr w:type="spellEnd"/>
      <w:r w:rsidRPr="007F064F">
        <w:rPr>
          <w:rFonts w:eastAsia="Times New Roman" w:cs="Calibri"/>
          <w:sz w:val="16"/>
          <w:szCs w:val="24"/>
          <w:highlight w:val="white"/>
        </w:rPr>
        <w:t xml:space="preserve">, Å. (2013). Improving literacy skills through learning reading by writing: The </w:t>
      </w:r>
      <w:proofErr w:type="spellStart"/>
      <w:r w:rsidRPr="007F064F">
        <w:rPr>
          <w:rFonts w:eastAsia="Times New Roman" w:cs="Calibri"/>
          <w:sz w:val="16"/>
          <w:szCs w:val="24"/>
          <w:highlight w:val="white"/>
        </w:rPr>
        <w:t>iWTR</w:t>
      </w:r>
      <w:proofErr w:type="spellEnd"/>
      <w:r w:rsidRPr="007F064F">
        <w:rPr>
          <w:rFonts w:eastAsia="Times New Roman" w:cs="Calibri"/>
          <w:sz w:val="16"/>
          <w:szCs w:val="24"/>
          <w:highlight w:val="white"/>
        </w:rPr>
        <w:t xml:space="preserve"> method presented and tested. </w:t>
      </w:r>
      <w:r w:rsidRPr="007F064F">
        <w:rPr>
          <w:rFonts w:eastAsia="Times New Roman" w:cs="Calibri"/>
          <w:i/>
          <w:sz w:val="16"/>
          <w:szCs w:val="24"/>
          <w:highlight w:val="white"/>
        </w:rPr>
        <w:t>Computers &amp; Education</w:t>
      </w:r>
      <w:r w:rsidRPr="007F064F">
        <w:rPr>
          <w:rFonts w:eastAsia="Times New Roman" w:cs="Calibri"/>
          <w:sz w:val="16"/>
          <w:szCs w:val="24"/>
          <w:highlight w:val="white"/>
        </w:rPr>
        <w:t>, </w:t>
      </w:r>
      <w:r w:rsidRPr="007F064F">
        <w:rPr>
          <w:rFonts w:eastAsia="Times New Roman" w:cs="Calibri"/>
          <w:i/>
          <w:sz w:val="16"/>
          <w:szCs w:val="24"/>
          <w:highlight w:val="white"/>
        </w:rPr>
        <w:t>67</w:t>
      </w:r>
      <w:r w:rsidRPr="007F064F">
        <w:rPr>
          <w:rFonts w:eastAsia="Times New Roman" w:cs="Calibri"/>
          <w:sz w:val="16"/>
          <w:szCs w:val="24"/>
          <w:highlight w:val="white"/>
        </w:rPr>
        <w:t>, 98-104.</w:t>
      </w:r>
    </w:p>
    <w:p w14:paraId="5179792A" w14:textId="77777777" w:rsidR="00E02E7D" w:rsidRPr="007F064F" w:rsidRDefault="00E02E7D" w:rsidP="00E02E7D">
      <w:pPr>
        <w:jc w:val="both"/>
        <w:rPr>
          <w:rFonts w:cs="Calibri"/>
          <w:sz w:val="16"/>
        </w:rPr>
      </w:pPr>
    </w:p>
    <w:p w14:paraId="3C2A1BF8" w14:textId="77777777" w:rsidR="00E02E7D" w:rsidRPr="007F064F" w:rsidRDefault="00E02E7D" w:rsidP="00E02E7D">
      <w:pPr>
        <w:jc w:val="both"/>
        <w:rPr>
          <w:rFonts w:cs="Calibri"/>
          <w:sz w:val="16"/>
        </w:rPr>
      </w:pPr>
      <w:r w:rsidRPr="007F064F">
        <w:rPr>
          <w:rFonts w:eastAsia="Times New Roman" w:cs="Calibri"/>
          <w:sz w:val="16"/>
          <w:szCs w:val="24"/>
          <w:highlight w:val="white"/>
        </w:rPr>
        <w:t xml:space="preserve">González, N., Moll, L. C., &amp; </w:t>
      </w:r>
      <w:proofErr w:type="spellStart"/>
      <w:r w:rsidRPr="007F064F">
        <w:rPr>
          <w:rFonts w:eastAsia="Times New Roman" w:cs="Calibri"/>
          <w:sz w:val="16"/>
          <w:szCs w:val="24"/>
          <w:highlight w:val="white"/>
        </w:rPr>
        <w:t>Amanti</w:t>
      </w:r>
      <w:proofErr w:type="spellEnd"/>
      <w:r w:rsidRPr="007F064F">
        <w:rPr>
          <w:rFonts w:eastAsia="Times New Roman" w:cs="Calibri"/>
          <w:sz w:val="16"/>
          <w:szCs w:val="24"/>
          <w:highlight w:val="white"/>
        </w:rPr>
        <w:t>, C. (Eds.). (2006). </w:t>
      </w:r>
      <w:r w:rsidRPr="007F064F">
        <w:rPr>
          <w:rFonts w:eastAsia="Times New Roman" w:cs="Calibri"/>
          <w:i/>
          <w:sz w:val="16"/>
          <w:szCs w:val="24"/>
          <w:highlight w:val="white"/>
        </w:rPr>
        <w:t>Funds of knowledge: Theorizing practices in households, communities, and classrooms</w:t>
      </w:r>
      <w:r w:rsidRPr="007F064F">
        <w:rPr>
          <w:rFonts w:eastAsia="Times New Roman" w:cs="Calibri"/>
          <w:sz w:val="16"/>
          <w:szCs w:val="24"/>
          <w:highlight w:val="white"/>
        </w:rPr>
        <w:t>. Routledge.</w:t>
      </w:r>
    </w:p>
    <w:p w14:paraId="367FDF86" w14:textId="77777777" w:rsidR="00E02E7D" w:rsidRPr="007F064F" w:rsidRDefault="00E02E7D" w:rsidP="00E02E7D">
      <w:pPr>
        <w:jc w:val="both"/>
        <w:rPr>
          <w:rFonts w:cs="Calibri"/>
          <w:sz w:val="16"/>
        </w:rPr>
      </w:pPr>
      <w:r w:rsidRPr="007F064F">
        <w:rPr>
          <w:rFonts w:eastAsia="Times New Roman" w:cs="Calibri"/>
          <w:sz w:val="16"/>
          <w:szCs w:val="24"/>
          <w:highlight w:val="white"/>
        </w:rPr>
        <w:t>Graham, S., &amp; Harris, K. R. (2003). Students with learning disabilities and the process of writing: A meta-analysis of SRSD studies.</w:t>
      </w:r>
    </w:p>
    <w:p w14:paraId="62AED6C4" w14:textId="77777777" w:rsidR="00E02E7D" w:rsidRPr="007F064F" w:rsidRDefault="00E02E7D" w:rsidP="00E02E7D">
      <w:pPr>
        <w:jc w:val="both"/>
        <w:rPr>
          <w:rFonts w:cs="Calibri"/>
          <w:sz w:val="16"/>
        </w:rPr>
      </w:pPr>
    </w:p>
    <w:p w14:paraId="68721B28" w14:textId="77777777" w:rsidR="00E02E7D" w:rsidRPr="007F064F" w:rsidRDefault="00E02E7D" w:rsidP="00E02E7D">
      <w:pPr>
        <w:jc w:val="both"/>
        <w:rPr>
          <w:rFonts w:eastAsia="Times New Roman" w:cs="Calibri"/>
          <w:sz w:val="16"/>
          <w:szCs w:val="24"/>
        </w:rPr>
      </w:pPr>
      <w:r w:rsidRPr="007F064F">
        <w:rPr>
          <w:rFonts w:eastAsia="Times New Roman" w:cs="Calibri"/>
          <w:sz w:val="16"/>
          <w:szCs w:val="24"/>
          <w:highlight w:val="white"/>
        </w:rPr>
        <w:t>Hall, T. E., Meyer, A., &amp; Rose, D. H. (Eds.). (2012). </w:t>
      </w:r>
      <w:r w:rsidRPr="007F064F">
        <w:rPr>
          <w:rFonts w:eastAsia="Times New Roman" w:cs="Calibri"/>
          <w:i/>
          <w:sz w:val="16"/>
          <w:szCs w:val="24"/>
          <w:highlight w:val="white"/>
        </w:rPr>
        <w:t>Universal design for learning in the classroom: Practical applications</w:t>
      </w:r>
      <w:r w:rsidRPr="007F064F">
        <w:rPr>
          <w:rFonts w:eastAsia="Times New Roman" w:cs="Calibri"/>
          <w:sz w:val="16"/>
          <w:szCs w:val="24"/>
          <w:highlight w:val="white"/>
        </w:rPr>
        <w:t>. Guilford Press.</w:t>
      </w:r>
    </w:p>
    <w:p w14:paraId="7C88B454" w14:textId="77777777" w:rsidR="00E02E7D" w:rsidRPr="007F064F" w:rsidRDefault="00E02E7D" w:rsidP="00E02E7D">
      <w:pPr>
        <w:jc w:val="both"/>
        <w:rPr>
          <w:rFonts w:cs="Calibri"/>
          <w:sz w:val="16"/>
        </w:rPr>
      </w:pPr>
    </w:p>
    <w:p w14:paraId="237B02D0"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Hessler</w:t>
      </w:r>
      <w:proofErr w:type="spellEnd"/>
      <w:r w:rsidRPr="007F064F">
        <w:rPr>
          <w:rFonts w:eastAsia="Times New Roman" w:cs="Calibri"/>
          <w:sz w:val="16"/>
          <w:szCs w:val="24"/>
          <w:highlight w:val="white"/>
        </w:rPr>
        <w:t>, T., &amp; Konrad, M. (2008). Using curriculum-based measurement to drive IEPs and instruction in written expression. </w:t>
      </w:r>
      <w:r w:rsidRPr="007F064F">
        <w:rPr>
          <w:rFonts w:eastAsia="Times New Roman" w:cs="Calibri"/>
          <w:i/>
          <w:sz w:val="16"/>
          <w:szCs w:val="24"/>
          <w:highlight w:val="white"/>
        </w:rPr>
        <w:t>Teaching Exceptional Children</w:t>
      </w:r>
      <w:r w:rsidRPr="007F064F">
        <w:rPr>
          <w:rFonts w:eastAsia="Times New Roman" w:cs="Calibri"/>
          <w:sz w:val="16"/>
          <w:szCs w:val="24"/>
          <w:highlight w:val="white"/>
        </w:rPr>
        <w:t>, </w:t>
      </w:r>
      <w:r w:rsidRPr="007F064F">
        <w:rPr>
          <w:rFonts w:eastAsia="Times New Roman" w:cs="Calibri"/>
          <w:i/>
          <w:sz w:val="16"/>
          <w:szCs w:val="24"/>
          <w:highlight w:val="white"/>
        </w:rPr>
        <w:t>41</w:t>
      </w:r>
      <w:r w:rsidRPr="007F064F">
        <w:rPr>
          <w:rFonts w:eastAsia="Times New Roman" w:cs="Calibri"/>
          <w:sz w:val="16"/>
          <w:szCs w:val="24"/>
          <w:highlight w:val="white"/>
        </w:rPr>
        <w:t>(2), 28-37.</w:t>
      </w:r>
    </w:p>
    <w:p w14:paraId="4127A8A0" w14:textId="77777777" w:rsidR="00E02E7D" w:rsidRPr="007F064F" w:rsidRDefault="00E02E7D" w:rsidP="00E02E7D">
      <w:pPr>
        <w:jc w:val="both"/>
        <w:rPr>
          <w:rFonts w:cs="Calibri"/>
          <w:sz w:val="16"/>
        </w:rPr>
      </w:pPr>
    </w:p>
    <w:p w14:paraId="297CCB68"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Heward</w:t>
      </w:r>
      <w:proofErr w:type="spellEnd"/>
      <w:r w:rsidRPr="007F064F">
        <w:rPr>
          <w:rFonts w:eastAsia="Times New Roman" w:cs="Calibri"/>
          <w:sz w:val="16"/>
          <w:szCs w:val="24"/>
          <w:highlight w:val="white"/>
        </w:rPr>
        <w:t>, W. L. (2013). </w:t>
      </w:r>
      <w:r w:rsidRPr="007F064F">
        <w:rPr>
          <w:rFonts w:eastAsia="Times New Roman" w:cs="Calibri"/>
          <w:i/>
          <w:sz w:val="16"/>
          <w:szCs w:val="24"/>
          <w:highlight w:val="white"/>
        </w:rPr>
        <w:t>Exceptional children: An introduction to special education</w:t>
      </w:r>
      <w:r w:rsidRPr="007F064F">
        <w:rPr>
          <w:rFonts w:eastAsia="Times New Roman" w:cs="Calibri"/>
          <w:sz w:val="16"/>
          <w:szCs w:val="24"/>
          <w:highlight w:val="white"/>
        </w:rPr>
        <w:t>.</w:t>
      </w:r>
    </w:p>
    <w:p w14:paraId="339420FC" w14:textId="77777777" w:rsidR="00E02E7D" w:rsidRPr="007F064F" w:rsidRDefault="00E02E7D" w:rsidP="00E02E7D">
      <w:pPr>
        <w:jc w:val="both"/>
        <w:rPr>
          <w:rFonts w:eastAsia="Times New Roman" w:cs="Calibri"/>
          <w:sz w:val="16"/>
          <w:szCs w:val="24"/>
        </w:rPr>
      </w:pPr>
      <w:r w:rsidRPr="007F064F">
        <w:rPr>
          <w:rFonts w:eastAsia="Times New Roman" w:cs="Calibri"/>
          <w:sz w:val="16"/>
          <w:szCs w:val="24"/>
          <w:highlight w:val="white"/>
        </w:rPr>
        <w:t>Pearson College Div.</w:t>
      </w:r>
    </w:p>
    <w:p w14:paraId="54C232F8" w14:textId="77777777" w:rsidR="00E02E7D" w:rsidRPr="007F064F" w:rsidRDefault="00E02E7D" w:rsidP="00E02E7D">
      <w:pPr>
        <w:jc w:val="both"/>
        <w:rPr>
          <w:rFonts w:cs="Calibri"/>
          <w:sz w:val="16"/>
        </w:rPr>
      </w:pPr>
    </w:p>
    <w:p w14:paraId="392A429D"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Lienemann</w:t>
      </w:r>
      <w:proofErr w:type="spellEnd"/>
      <w:r w:rsidRPr="007F064F">
        <w:rPr>
          <w:rFonts w:eastAsia="Times New Roman" w:cs="Calibri"/>
          <w:sz w:val="16"/>
          <w:szCs w:val="24"/>
          <w:highlight w:val="white"/>
        </w:rPr>
        <w:t>, T. O., Graham, S., Leader-Janssen, B., &amp; Reid, R. (2006). Improving the writing performance of struggling writers in second grade. </w:t>
      </w:r>
      <w:r w:rsidRPr="007F064F">
        <w:rPr>
          <w:rFonts w:eastAsia="Times New Roman" w:cs="Calibri"/>
          <w:i/>
          <w:sz w:val="16"/>
          <w:szCs w:val="24"/>
          <w:highlight w:val="white"/>
        </w:rPr>
        <w:t>The Journal of Special Education</w:t>
      </w:r>
      <w:r w:rsidRPr="007F064F">
        <w:rPr>
          <w:rFonts w:eastAsia="Times New Roman" w:cs="Calibri"/>
          <w:sz w:val="16"/>
          <w:szCs w:val="24"/>
          <w:highlight w:val="white"/>
        </w:rPr>
        <w:t>, </w:t>
      </w:r>
      <w:r w:rsidRPr="007F064F">
        <w:rPr>
          <w:rFonts w:eastAsia="Times New Roman" w:cs="Calibri"/>
          <w:i/>
          <w:sz w:val="16"/>
          <w:szCs w:val="24"/>
          <w:highlight w:val="white"/>
        </w:rPr>
        <w:t>40</w:t>
      </w:r>
      <w:r w:rsidRPr="007F064F">
        <w:rPr>
          <w:rFonts w:eastAsia="Times New Roman" w:cs="Calibri"/>
          <w:sz w:val="16"/>
          <w:szCs w:val="24"/>
          <w:highlight w:val="white"/>
        </w:rPr>
        <w:t>(2), 66-78.</w:t>
      </w:r>
    </w:p>
    <w:p w14:paraId="254A57CE" w14:textId="77777777" w:rsidR="00E02E7D" w:rsidRPr="007F064F" w:rsidRDefault="00E02E7D" w:rsidP="00E02E7D">
      <w:pPr>
        <w:jc w:val="both"/>
        <w:rPr>
          <w:rFonts w:cs="Calibri"/>
          <w:sz w:val="16"/>
        </w:rPr>
      </w:pPr>
    </w:p>
    <w:p w14:paraId="30173A5A"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McCaleb</w:t>
      </w:r>
      <w:proofErr w:type="spellEnd"/>
      <w:r w:rsidRPr="007F064F">
        <w:rPr>
          <w:rFonts w:eastAsia="Times New Roman" w:cs="Calibri"/>
          <w:sz w:val="16"/>
          <w:szCs w:val="24"/>
          <w:highlight w:val="white"/>
        </w:rPr>
        <w:t>, S. P. (2013). </w:t>
      </w:r>
      <w:r w:rsidRPr="007F064F">
        <w:rPr>
          <w:rFonts w:eastAsia="Times New Roman" w:cs="Calibri"/>
          <w:i/>
          <w:sz w:val="16"/>
          <w:szCs w:val="24"/>
          <w:highlight w:val="white"/>
        </w:rPr>
        <w:t>Building communities of learners: A collaboration among teachers, students, families, and community</w:t>
      </w:r>
      <w:r w:rsidRPr="007F064F">
        <w:rPr>
          <w:rFonts w:eastAsia="Times New Roman" w:cs="Calibri"/>
          <w:sz w:val="16"/>
          <w:szCs w:val="24"/>
          <w:highlight w:val="white"/>
        </w:rPr>
        <w:t>. Routledge.</w:t>
      </w:r>
    </w:p>
    <w:p w14:paraId="0626513C" w14:textId="77777777" w:rsidR="00E02E7D" w:rsidRPr="007F064F" w:rsidRDefault="00E02E7D" w:rsidP="00E02E7D">
      <w:pPr>
        <w:jc w:val="both"/>
        <w:rPr>
          <w:rFonts w:cs="Calibri"/>
          <w:sz w:val="16"/>
        </w:rPr>
      </w:pPr>
    </w:p>
    <w:p w14:paraId="070729AA"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rPr>
        <w:t>Rathvon</w:t>
      </w:r>
      <w:proofErr w:type="spellEnd"/>
      <w:r w:rsidRPr="007F064F">
        <w:rPr>
          <w:rFonts w:eastAsia="Times New Roman" w:cs="Calibri"/>
          <w:sz w:val="16"/>
          <w:szCs w:val="24"/>
        </w:rPr>
        <w:t xml:space="preserve">, N.  (1999). </w:t>
      </w:r>
      <w:r w:rsidRPr="007F064F">
        <w:rPr>
          <w:rFonts w:eastAsia="Times New Roman" w:cs="Calibri"/>
          <w:i/>
          <w:sz w:val="16"/>
          <w:szCs w:val="24"/>
        </w:rPr>
        <w:t>Effective School Interventions</w:t>
      </w:r>
      <w:r w:rsidRPr="007F064F">
        <w:rPr>
          <w:rFonts w:eastAsia="Times New Roman" w:cs="Calibri"/>
          <w:sz w:val="16"/>
          <w:szCs w:val="24"/>
        </w:rPr>
        <w:t>.  New York:  Guilford Press.</w:t>
      </w:r>
    </w:p>
    <w:p w14:paraId="38D62172" w14:textId="77777777" w:rsidR="00E02E7D" w:rsidRPr="007F064F" w:rsidRDefault="00E02E7D" w:rsidP="00E02E7D">
      <w:pPr>
        <w:jc w:val="both"/>
        <w:rPr>
          <w:rFonts w:cs="Calibri"/>
          <w:sz w:val="16"/>
        </w:rPr>
      </w:pPr>
    </w:p>
    <w:p w14:paraId="09CDDF38" w14:textId="77777777" w:rsidR="00E02E7D" w:rsidRPr="007F064F" w:rsidRDefault="00E02E7D" w:rsidP="00E02E7D">
      <w:pPr>
        <w:jc w:val="both"/>
        <w:rPr>
          <w:rFonts w:eastAsia="Times New Roman" w:cs="Calibri"/>
          <w:sz w:val="16"/>
          <w:szCs w:val="24"/>
        </w:rPr>
      </w:pPr>
      <w:r w:rsidRPr="007F064F">
        <w:rPr>
          <w:rFonts w:eastAsia="Times New Roman" w:cs="Calibri"/>
          <w:sz w:val="16"/>
          <w:szCs w:val="24"/>
          <w:highlight w:val="white"/>
        </w:rPr>
        <w:t>Rose, J., (2009). Identifying and teaching children and young people with dyslexia and literacy difficulties: An independent report.</w:t>
      </w:r>
    </w:p>
    <w:p w14:paraId="39F921CA" w14:textId="77777777" w:rsidR="00E02E7D" w:rsidRPr="007F064F" w:rsidRDefault="00E02E7D" w:rsidP="00E02E7D">
      <w:pPr>
        <w:jc w:val="both"/>
        <w:rPr>
          <w:rFonts w:cs="Calibri"/>
          <w:sz w:val="16"/>
        </w:rPr>
      </w:pPr>
    </w:p>
    <w:p w14:paraId="25920FEF" w14:textId="77777777" w:rsidR="00E02E7D" w:rsidRPr="007F064F" w:rsidRDefault="00E02E7D" w:rsidP="00E02E7D">
      <w:pPr>
        <w:jc w:val="both"/>
        <w:rPr>
          <w:rFonts w:eastAsia="Times New Roman" w:cs="Calibri"/>
          <w:sz w:val="16"/>
          <w:szCs w:val="24"/>
        </w:rPr>
      </w:pPr>
      <w:proofErr w:type="spellStart"/>
      <w:r w:rsidRPr="007F064F">
        <w:rPr>
          <w:rFonts w:eastAsia="Times New Roman" w:cs="Calibri"/>
          <w:sz w:val="16"/>
          <w:szCs w:val="24"/>
          <w:highlight w:val="white"/>
        </w:rPr>
        <w:t>Troia</w:t>
      </w:r>
      <w:proofErr w:type="spellEnd"/>
      <w:r w:rsidRPr="007F064F">
        <w:rPr>
          <w:rFonts w:eastAsia="Times New Roman" w:cs="Calibri"/>
          <w:sz w:val="16"/>
          <w:szCs w:val="24"/>
          <w:highlight w:val="white"/>
        </w:rPr>
        <w:t>, G. A. (2006). Writing instruction for students with learning disabilities. </w:t>
      </w:r>
      <w:r w:rsidRPr="007F064F">
        <w:rPr>
          <w:rFonts w:eastAsia="Times New Roman" w:cs="Calibri"/>
          <w:i/>
          <w:sz w:val="16"/>
          <w:szCs w:val="24"/>
          <w:highlight w:val="white"/>
        </w:rPr>
        <w:t>Handbook of writing research</w:t>
      </w:r>
      <w:r w:rsidRPr="007F064F">
        <w:rPr>
          <w:rFonts w:eastAsia="Times New Roman" w:cs="Calibri"/>
          <w:sz w:val="16"/>
          <w:szCs w:val="24"/>
          <w:highlight w:val="white"/>
        </w:rPr>
        <w:t>, 324-336.</w:t>
      </w:r>
    </w:p>
    <w:p w14:paraId="6F7A1D96" w14:textId="77777777" w:rsidR="00E02E7D" w:rsidRPr="007F064F" w:rsidRDefault="00E02E7D" w:rsidP="00E02E7D">
      <w:pPr>
        <w:jc w:val="both"/>
        <w:rPr>
          <w:rFonts w:cs="Calibri"/>
          <w:sz w:val="16"/>
        </w:rPr>
      </w:pPr>
    </w:p>
    <w:p w14:paraId="5F1D2C56" w14:textId="7840ACA6" w:rsidR="00891D6E" w:rsidRPr="00E02E7D" w:rsidRDefault="00E02E7D" w:rsidP="00E02E7D">
      <w:pPr>
        <w:jc w:val="both"/>
        <w:rPr>
          <w:rFonts w:eastAsia="Times New Roman" w:cs="Calibri"/>
          <w:sz w:val="16"/>
          <w:szCs w:val="24"/>
        </w:rPr>
      </w:pPr>
      <w:r w:rsidRPr="007F064F">
        <w:rPr>
          <w:rFonts w:eastAsia="Times New Roman" w:cs="Calibri"/>
          <w:sz w:val="16"/>
          <w:szCs w:val="24"/>
        </w:rPr>
        <w:t xml:space="preserve">Villa, R. Thousand, J., &amp; </w:t>
      </w:r>
      <w:proofErr w:type="spellStart"/>
      <w:r w:rsidRPr="007F064F">
        <w:rPr>
          <w:rFonts w:eastAsia="Times New Roman" w:cs="Calibri"/>
          <w:sz w:val="16"/>
          <w:szCs w:val="24"/>
        </w:rPr>
        <w:t>Nevin</w:t>
      </w:r>
      <w:proofErr w:type="spellEnd"/>
      <w:r w:rsidRPr="007F064F">
        <w:rPr>
          <w:rFonts w:eastAsia="Times New Roman" w:cs="Calibri"/>
          <w:sz w:val="16"/>
          <w:szCs w:val="24"/>
        </w:rPr>
        <w:t>, A. (2008). A Guide to Co-Teaching: Practical Tips for Facilitating Student Learning (2nd. Ed.). Thousand Oaks, California: Corwin Pres. (800) 818- 7243</w:t>
      </w:r>
    </w:p>
    <w:sectPr w:rsidR="00891D6E" w:rsidRPr="00E02E7D" w:rsidSect="00C370A6">
      <w:headerReference w:type="default" r:id="rId15"/>
      <w:footerReference w:type="default" r:id="rId1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056A6" w14:textId="77777777" w:rsidR="00DE7FED" w:rsidRDefault="00DE7FED" w:rsidP="00A66B13">
      <w:r>
        <w:separator/>
      </w:r>
    </w:p>
  </w:endnote>
  <w:endnote w:type="continuationSeparator" w:id="0">
    <w:p w14:paraId="39FE83C9" w14:textId="77777777" w:rsidR="00DE7FED" w:rsidRDefault="00DE7FED"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3FB605C" w:rsidR="001A7EA7" w:rsidRDefault="00E02E7D" w:rsidP="00A66B13">
    <w:pPr>
      <w:pStyle w:val="Footer"/>
    </w:pPr>
    <w:r>
      <w:rPr>
        <w:noProof/>
        <w:lang w:val="el-GR" w:eastAsia="el-GR"/>
      </w:rPr>
      <w:drawing>
        <wp:anchor distT="0" distB="0" distL="114300" distR="114300" simplePos="0" relativeHeight="251667968" behindDoc="0" locked="0" layoutInCell="1" allowOverlap="1" wp14:anchorId="72A0799E" wp14:editId="255DA122">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C1686" w14:textId="77777777" w:rsidR="00DE7FED" w:rsidRDefault="00DE7FED" w:rsidP="00A66B13">
      <w:r>
        <w:separator/>
      </w:r>
    </w:p>
  </w:footnote>
  <w:footnote w:type="continuationSeparator" w:id="0">
    <w:p w14:paraId="2334A39B" w14:textId="77777777" w:rsidR="00DE7FED" w:rsidRDefault="00DE7FED"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080021E5" w:rsidR="001A7EA7" w:rsidRDefault="00E02E7D"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09039A5">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1527A"/>
    <w:multiLevelType w:val="hybridMultilevel"/>
    <w:tmpl w:val="6E94991A"/>
    <w:lvl w:ilvl="0" w:tplc="F760C252">
      <w:start w:val="1"/>
      <w:numFmt w:val="decimal"/>
      <w:lvlText w:val="%1."/>
      <w:lvlJc w:val="left"/>
      <w:pPr>
        <w:tabs>
          <w:tab w:val="num" w:pos="786"/>
        </w:tabs>
        <w:ind w:left="786" w:hanging="360"/>
      </w:pPr>
      <w:rPr>
        <w:rFonts w:ascii="Calibri" w:hAnsi="Calibri" w:hint="default"/>
        <w:b w:val="0"/>
        <w:sz w:val="22"/>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14F95134"/>
    <w:multiLevelType w:val="hybridMultilevel"/>
    <w:tmpl w:val="64EAD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AB7189"/>
    <w:multiLevelType w:val="hybridMultilevel"/>
    <w:tmpl w:val="BC709BA0"/>
    <w:lvl w:ilvl="0" w:tplc="DFE4C8CA">
      <w:start w:val="1"/>
      <w:numFmt w:val="decimal"/>
      <w:lvlText w:val="%1."/>
      <w:lvlJc w:val="left"/>
      <w:pPr>
        <w:tabs>
          <w:tab w:val="num" w:pos="786"/>
        </w:tabs>
        <w:ind w:left="786" w:hanging="360"/>
      </w:pPr>
      <w:rPr>
        <w:rFonts w:ascii="Calibri" w:hAnsi="Calibri" w:hint="default"/>
        <w:b w:val="0"/>
        <w:sz w:val="22"/>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213537"/>
    <w:multiLevelType w:val="hybridMultilevel"/>
    <w:tmpl w:val="9B92ADC8"/>
    <w:lvl w:ilvl="0" w:tplc="04090001">
      <w:start w:val="1"/>
      <w:numFmt w:val="bullet"/>
      <w:lvlText w:val=""/>
      <w:lvlJc w:val="left"/>
      <w:pPr>
        <w:ind w:left="1440" w:hanging="360"/>
      </w:pPr>
      <w:rPr>
        <w:rFonts w:ascii="Symbol" w:hAnsi="Symbol"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4E50E7"/>
    <w:multiLevelType w:val="hybridMultilevel"/>
    <w:tmpl w:val="0A8AA3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9" w15:restartNumberingAfterBreak="0">
    <w:nsid w:val="5AD027EC"/>
    <w:multiLevelType w:val="multilevel"/>
    <w:tmpl w:val="A300E23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0"/>
  </w:num>
  <w:num w:numId="5">
    <w:abstractNumId w:val="11"/>
  </w:num>
  <w:num w:numId="6">
    <w:abstractNumId w:val="5"/>
  </w:num>
  <w:num w:numId="7">
    <w:abstractNumId w:val="9"/>
  </w:num>
  <w:num w:numId="8">
    <w:abstractNumId w:val="4"/>
  </w:num>
  <w:num w:numId="9">
    <w:abstractNumId w:val="6"/>
  </w:num>
  <w:num w:numId="10">
    <w:abstractNumId w:val="2"/>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DE7FED"/>
    <w:rsid w:val="00E02E7D"/>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E02E7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E02E7D"/>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acea.ec.europa.eu/education/eurydice/documents/key_data_series/129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uropean-agency.org/sites/default/files/Lithuania.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E88E7-5485-4498-B1F5-5DD8D526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13</TotalTime>
  <Pages>5</Pages>
  <Words>1686</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2017-06-27T12:56:00Z</dcterms:modified>
</cp:coreProperties>
</file>